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8" w:lineRule="exact"/>
        <w:jc w:val="center"/>
        <w:rPr>
          <w:rFonts w:ascii="黑体" w:hAnsi="黑体" w:eastAsia="黑体" w:cs="宋体"/>
          <w:b/>
          <w:bCs/>
          <w:sz w:val="44"/>
          <w:szCs w:val="44"/>
        </w:rPr>
      </w:pPr>
      <w:r>
        <w:rPr>
          <w:rFonts w:hint="eastAsia" w:ascii="黑体" w:hAnsi="黑体" w:eastAsia="黑体" w:cs="宋体"/>
          <w:b/>
          <w:bCs/>
          <w:sz w:val="44"/>
          <w:szCs w:val="44"/>
        </w:rPr>
        <w:t>泸县就业服务管理局</w:t>
      </w:r>
    </w:p>
    <w:p>
      <w:pPr>
        <w:spacing w:line="578" w:lineRule="exact"/>
        <w:jc w:val="center"/>
        <w:rPr>
          <w:rFonts w:ascii="黑体" w:hAnsi="黑体" w:eastAsia="黑体" w:cs="宋体"/>
          <w:b/>
          <w:bCs/>
          <w:sz w:val="44"/>
          <w:szCs w:val="44"/>
        </w:rPr>
      </w:pPr>
      <w:r>
        <w:rPr>
          <w:rFonts w:hint="eastAsia" w:ascii="黑体" w:hAnsi="黑体" w:eastAsia="黑体" w:cs="宋体"/>
          <w:b/>
          <w:bCs/>
          <w:sz w:val="44"/>
          <w:szCs w:val="44"/>
        </w:rPr>
        <w:t>2020年部门</w:t>
      </w:r>
      <w:r>
        <w:rPr>
          <w:rFonts w:hint="eastAsia" w:ascii="黑体" w:hAnsi="黑体" w:eastAsia="黑体" w:cs="宋体"/>
          <w:b/>
          <w:bCs/>
          <w:sz w:val="44"/>
          <w:szCs w:val="44"/>
          <w:lang w:eastAsia="zh-CN"/>
        </w:rPr>
        <w:t>预算</w:t>
      </w:r>
      <w:r>
        <w:rPr>
          <w:rFonts w:hint="eastAsia" w:ascii="黑体" w:hAnsi="黑体" w:eastAsia="黑体" w:cs="宋体"/>
          <w:b/>
          <w:bCs/>
          <w:sz w:val="44"/>
          <w:szCs w:val="44"/>
        </w:rPr>
        <w:t>支出绩效评价报告</w:t>
      </w:r>
    </w:p>
    <w:p>
      <w:pPr>
        <w:spacing w:line="578" w:lineRule="exact"/>
        <w:jc w:val="center"/>
        <w:rPr>
          <w:rFonts w:ascii="宋体" w:hAnsi="宋体" w:cs="宋体"/>
          <w:sz w:val="28"/>
          <w:szCs w:val="28"/>
        </w:rPr>
      </w:pPr>
    </w:p>
    <w:p>
      <w:pPr>
        <w:spacing w:line="560" w:lineRule="exact"/>
        <w:ind w:firstLine="551" w:firstLineChars="196"/>
        <w:rPr>
          <w:rFonts w:ascii="宋体" w:hAnsi="宋体" w:cs="宋体"/>
          <w:b/>
          <w:bCs/>
          <w:sz w:val="28"/>
          <w:szCs w:val="28"/>
        </w:rPr>
      </w:pPr>
      <w:r>
        <w:rPr>
          <w:rFonts w:hint="eastAsia" w:ascii="宋体" w:hAnsi="宋体" w:cs="宋体"/>
          <w:b/>
          <w:bCs/>
          <w:sz w:val="28"/>
          <w:szCs w:val="28"/>
        </w:rPr>
        <w:t>一、部门概况</w:t>
      </w:r>
      <w:bookmarkStart w:id="0" w:name="_GoBack"/>
      <w:bookmarkEnd w:id="0"/>
    </w:p>
    <w:p>
      <w:pPr>
        <w:spacing w:line="560" w:lineRule="exact"/>
        <w:ind w:firstLine="560" w:firstLineChars="200"/>
        <w:rPr>
          <w:rFonts w:ascii="宋体" w:hAnsi="宋体" w:cs="宋体"/>
          <w:sz w:val="28"/>
          <w:szCs w:val="28"/>
        </w:rPr>
      </w:pPr>
      <w:r>
        <w:rPr>
          <w:rFonts w:hint="eastAsia" w:ascii="宋体" w:hAnsi="宋体" w:cs="宋体"/>
          <w:sz w:val="28"/>
          <w:szCs w:val="28"/>
        </w:rPr>
        <w:t>（一）机构组成</w:t>
      </w:r>
    </w:p>
    <w:p>
      <w:pPr>
        <w:spacing w:line="560" w:lineRule="exact"/>
        <w:ind w:firstLine="640" w:firstLineChars="200"/>
        <w:rPr>
          <w:rFonts w:ascii="宋体" w:hAnsi="宋体" w:cs="宋体"/>
          <w:sz w:val="28"/>
          <w:szCs w:val="28"/>
        </w:rPr>
      </w:pPr>
      <w:r>
        <w:rPr>
          <w:rFonts w:hint="eastAsia" w:ascii="仿宋" w:hAnsi="仿宋" w:eastAsia="仿宋"/>
          <w:bCs/>
          <w:color w:val="000000"/>
          <w:kern w:val="0"/>
          <w:sz w:val="32"/>
          <w:szCs w:val="32"/>
        </w:rPr>
        <w:t>我局为全额拨款的参公事业单位，属一级预算单位</w:t>
      </w:r>
      <w:r>
        <w:rPr>
          <w:rFonts w:hint="eastAsia" w:ascii="仿宋" w:hAnsi="仿宋" w:eastAsia="仿宋"/>
          <w:bCs/>
          <w:color w:val="000000"/>
          <w:kern w:val="0"/>
          <w:szCs w:val="32"/>
        </w:rPr>
        <w:t>。</w:t>
      </w:r>
    </w:p>
    <w:p>
      <w:pPr>
        <w:spacing w:line="560" w:lineRule="exact"/>
        <w:ind w:firstLine="560" w:firstLineChars="200"/>
        <w:rPr>
          <w:rFonts w:ascii="宋体" w:hAnsi="宋体" w:cs="宋体"/>
          <w:sz w:val="28"/>
          <w:szCs w:val="28"/>
        </w:rPr>
      </w:pPr>
      <w:r>
        <w:rPr>
          <w:rFonts w:hint="eastAsia" w:ascii="宋体" w:hAnsi="宋体" w:cs="宋体"/>
          <w:sz w:val="28"/>
          <w:szCs w:val="28"/>
        </w:rPr>
        <w:t>（二）机构职能</w:t>
      </w:r>
    </w:p>
    <w:p>
      <w:pPr>
        <w:spacing w:line="560" w:lineRule="exact"/>
        <w:ind w:firstLine="420" w:firstLineChars="200"/>
        <w:rPr>
          <w:rFonts w:ascii="仿宋" w:hAnsi="仿宋" w:eastAsia="仿宋"/>
          <w:bCs/>
          <w:color w:val="000000"/>
          <w:kern w:val="0"/>
          <w:sz w:val="32"/>
          <w:szCs w:val="32"/>
        </w:rPr>
      </w:pPr>
      <w:r>
        <w:rPr>
          <w:rFonts w:hint="eastAsia"/>
        </w:rPr>
        <w:t xml:space="preserve">  </w:t>
      </w:r>
      <w:r>
        <w:rPr>
          <w:rFonts w:hint="eastAsia" w:ascii="仿宋" w:hAnsi="仿宋" w:eastAsia="仿宋"/>
          <w:bCs/>
          <w:color w:val="000000"/>
          <w:kern w:val="0"/>
          <w:sz w:val="32"/>
          <w:szCs w:val="32"/>
        </w:rPr>
        <w:t>负责全县就业、创业、失业保险等法律法规及其政策的宣传贯彻执行；统筹做好全县城镇新增劳动力、农业富余劳动力转移、就业创业和失业人员就业创业工作；负责承办全县就业创业工作具体事务，办理就业、失业登记等事务，对就业困难对象实施就业援助以及提供公共就业服务；积极落实好就业创业扶持政策，管理使用好就业资金。</w:t>
      </w:r>
    </w:p>
    <w:p>
      <w:pPr>
        <w:spacing w:line="560" w:lineRule="exact"/>
        <w:ind w:firstLine="560" w:firstLineChars="200"/>
        <w:rPr>
          <w:rFonts w:ascii="宋体" w:hAnsi="宋体" w:cs="宋体"/>
          <w:sz w:val="28"/>
          <w:szCs w:val="28"/>
        </w:rPr>
      </w:pPr>
      <w:r>
        <w:rPr>
          <w:rFonts w:hint="eastAsia" w:ascii="宋体" w:hAnsi="宋体" w:cs="宋体"/>
          <w:sz w:val="28"/>
          <w:szCs w:val="28"/>
        </w:rPr>
        <w:t>（三）人员概况</w:t>
      </w:r>
    </w:p>
    <w:p>
      <w:pPr>
        <w:spacing w:line="560" w:lineRule="exact"/>
        <w:ind w:firstLine="640" w:firstLineChars="200"/>
        <w:rPr>
          <w:rFonts w:ascii="仿宋" w:hAnsi="仿宋" w:eastAsia="仿宋"/>
          <w:bCs/>
          <w:color w:val="000000"/>
          <w:kern w:val="0"/>
          <w:sz w:val="32"/>
          <w:szCs w:val="32"/>
        </w:rPr>
      </w:pPr>
      <w:r>
        <w:rPr>
          <w:rFonts w:hint="eastAsia" w:ascii="仿宋" w:hAnsi="仿宋" w:eastAsia="仿宋"/>
          <w:bCs/>
          <w:color w:val="000000"/>
          <w:kern w:val="0"/>
          <w:sz w:val="32"/>
          <w:szCs w:val="32"/>
        </w:rPr>
        <w:t>2020年实有编制20名，共有职工33人，其中在职职工19人，退休人员13人,长期聘用人员1人。</w:t>
      </w:r>
    </w:p>
    <w:p>
      <w:pPr>
        <w:spacing w:line="560" w:lineRule="exact"/>
        <w:ind w:firstLine="551" w:firstLineChars="196"/>
        <w:rPr>
          <w:rFonts w:ascii="宋体" w:hAnsi="宋体" w:cs="宋体"/>
          <w:b/>
          <w:bCs/>
          <w:sz w:val="28"/>
          <w:szCs w:val="28"/>
        </w:rPr>
      </w:pPr>
      <w:r>
        <w:rPr>
          <w:rFonts w:hint="eastAsia" w:ascii="宋体" w:hAnsi="宋体" w:cs="宋体"/>
          <w:b/>
          <w:bCs/>
          <w:sz w:val="28"/>
          <w:szCs w:val="28"/>
        </w:rPr>
        <w:t>二、部门财政资金收支情况</w:t>
      </w:r>
    </w:p>
    <w:p>
      <w:pPr>
        <w:spacing w:line="560" w:lineRule="exact"/>
        <w:ind w:firstLine="560" w:firstLineChars="200"/>
        <w:rPr>
          <w:rFonts w:ascii="宋体" w:hAnsi="宋体" w:cs="宋体"/>
          <w:color w:val="000000" w:themeColor="text1"/>
          <w:sz w:val="28"/>
          <w:szCs w:val="28"/>
        </w:rPr>
      </w:pPr>
      <w:r>
        <w:rPr>
          <w:rFonts w:hint="eastAsia" w:ascii="宋体" w:hAnsi="宋体" w:cs="宋体"/>
          <w:color w:val="000000" w:themeColor="text1"/>
          <w:sz w:val="28"/>
          <w:szCs w:val="28"/>
        </w:rPr>
        <w:t>（一）部门财政资金收入情况</w:t>
      </w:r>
    </w:p>
    <w:p>
      <w:pPr>
        <w:spacing w:line="578" w:lineRule="exact"/>
        <w:ind w:firstLine="640" w:firstLineChars="200"/>
        <w:rPr>
          <w:rFonts w:ascii="仿宋" w:hAnsi="仿宋" w:eastAsia="仿宋"/>
          <w:bCs/>
          <w:kern w:val="0"/>
        </w:rPr>
      </w:pPr>
      <w:r>
        <w:rPr>
          <w:rFonts w:ascii="仿宋" w:hAnsi="仿宋" w:eastAsia="仿宋"/>
          <w:bCs/>
          <w:color w:val="000000"/>
          <w:kern w:val="0"/>
          <w:sz w:val="32"/>
          <w:szCs w:val="32"/>
        </w:rPr>
        <w:t>20</w:t>
      </w:r>
      <w:r>
        <w:rPr>
          <w:rFonts w:hint="eastAsia" w:ascii="仿宋" w:hAnsi="仿宋" w:eastAsia="仿宋"/>
          <w:bCs/>
          <w:color w:val="000000"/>
          <w:kern w:val="0"/>
          <w:sz w:val="32"/>
          <w:szCs w:val="32"/>
        </w:rPr>
        <w:t>20年本年收入合计1303.88万元，其中：一般公共预算财政拨款收入1303.88万元，占100</w:t>
      </w:r>
      <w:r>
        <w:rPr>
          <w:rFonts w:ascii="仿宋" w:hAnsi="仿宋" w:eastAsia="仿宋"/>
          <w:bCs/>
          <w:color w:val="000000"/>
          <w:kern w:val="0"/>
          <w:sz w:val="32"/>
          <w:szCs w:val="32"/>
        </w:rPr>
        <w:t>%</w:t>
      </w:r>
      <w:r>
        <w:rPr>
          <w:rFonts w:hint="eastAsia" w:ascii="仿宋" w:hAnsi="仿宋" w:eastAsia="仿宋"/>
          <w:bCs/>
          <w:color w:val="000000"/>
          <w:kern w:val="0"/>
          <w:sz w:val="32"/>
          <w:szCs w:val="32"/>
        </w:rPr>
        <w:t>。（</w:t>
      </w:r>
      <w:r>
        <w:rPr>
          <w:rFonts w:ascii="仿宋" w:hAnsi="仿宋" w:eastAsia="仿宋"/>
          <w:bCs/>
          <w:kern w:val="0"/>
        </w:rPr>
        <w:t>见20</w:t>
      </w:r>
      <w:r>
        <w:rPr>
          <w:rFonts w:hint="eastAsia" w:ascii="仿宋" w:hAnsi="仿宋" w:eastAsia="仿宋"/>
          <w:bCs/>
          <w:kern w:val="0"/>
        </w:rPr>
        <w:t>20</w:t>
      </w:r>
      <w:r>
        <w:rPr>
          <w:rFonts w:ascii="仿宋" w:hAnsi="仿宋" w:eastAsia="仿宋"/>
          <w:bCs/>
          <w:kern w:val="0"/>
        </w:rPr>
        <w:t>年财政资金收入明细表）</w:t>
      </w:r>
    </w:p>
    <w:p>
      <w:pPr>
        <w:pStyle w:val="2"/>
      </w:pPr>
    </w:p>
    <w:p>
      <w:pPr>
        <w:pStyle w:val="2"/>
        <w:jc w:val="center"/>
        <w:rPr>
          <w:sz w:val="24"/>
          <w:szCs w:val="24"/>
        </w:rPr>
      </w:pPr>
      <w:r>
        <w:rPr>
          <w:rFonts w:ascii="仿宋" w:hAnsi="仿宋" w:eastAsia="仿宋" w:cs="Times New Roman"/>
          <w:bCs/>
          <w:kern w:val="0"/>
          <w:sz w:val="24"/>
          <w:szCs w:val="24"/>
        </w:rPr>
        <w:t>20</w:t>
      </w:r>
      <w:r>
        <w:rPr>
          <w:rFonts w:hint="eastAsia" w:ascii="仿宋" w:hAnsi="仿宋" w:eastAsia="仿宋"/>
          <w:bCs/>
          <w:kern w:val="0"/>
          <w:sz w:val="24"/>
          <w:szCs w:val="24"/>
        </w:rPr>
        <w:t>20</w:t>
      </w:r>
      <w:r>
        <w:rPr>
          <w:rFonts w:ascii="仿宋" w:hAnsi="仿宋" w:eastAsia="仿宋" w:cs="Times New Roman"/>
          <w:bCs/>
          <w:kern w:val="0"/>
          <w:sz w:val="24"/>
          <w:szCs w:val="24"/>
        </w:rPr>
        <w:t>年财政资金收入明细表</w:t>
      </w:r>
    </w:p>
    <w:tbl>
      <w:tblPr>
        <w:tblStyle w:val="5"/>
        <w:tblW w:w="8653" w:type="dxa"/>
        <w:tblInd w:w="95" w:type="dxa"/>
        <w:tblLayout w:type="autofit"/>
        <w:tblCellMar>
          <w:top w:w="0" w:type="dxa"/>
          <w:left w:w="108" w:type="dxa"/>
          <w:bottom w:w="0" w:type="dxa"/>
          <w:right w:w="108" w:type="dxa"/>
        </w:tblCellMar>
      </w:tblPr>
      <w:tblGrid>
        <w:gridCol w:w="436"/>
        <w:gridCol w:w="436"/>
        <w:gridCol w:w="436"/>
        <w:gridCol w:w="4147"/>
        <w:gridCol w:w="1800"/>
        <w:gridCol w:w="1800"/>
      </w:tblGrid>
      <w:tr>
        <w:tblPrEx>
          <w:tblCellMar>
            <w:top w:w="0" w:type="dxa"/>
            <w:left w:w="108" w:type="dxa"/>
            <w:bottom w:w="0" w:type="dxa"/>
            <w:right w:w="108" w:type="dxa"/>
          </w:tblCellMar>
        </w:tblPrEx>
        <w:trPr>
          <w:trHeight w:val="255" w:hRule="atLeast"/>
        </w:trPr>
        <w:tc>
          <w:tcPr>
            <w:tcW w:w="5053" w:type="dxa"/>
            <w:gridSpan w:val="4"/>
            <w:tcBorders>
              <w:top w:val="nil"/>
              <w:left w:val="nil"/>
              <w:bottom w:val="nil"/>
              <w:right w:val="nil"/>
            </w:tcBorders>
            <w:shd w:val="clear" w:color="auto" w:fill="auto"/>
            <w:noWrap/>
            <w:vAlign w:val="bottom"/>
          </w:tcPr>
          <w:p>
            <w:pPr>
              <w:widowControl/>
              <w:jc w:val="left"/>
              <w:rPr>
                <w:rFonts w:ascii="仿宋" w:hAnsi="仿宋" w:eastAsia="仿宋" w:cs="Arial"/>
                <w:color w:val="000000"/>
                <w:kern w:val="0"/>
                <w:sz w:val="18"/>
                <w:szCs w:val="18"/>
              </w:rPr>
            </w:pPr>
            <w:r>
              <w:rPr>
                <w:rFonts w:hint="eastAsia" w:ascii="仿宋" w:hAnsi="仿宋" w:eastAsia="仿宋" w:cs="Arial"/>
                <w:color w:val="000000"/>
                <w:kern w:val="0"/>
                <w:sz w:val="18"/>
                <w:szCs w:val="18"/>
              </w:rPr>
              <w:t>部门：四川省泸州市泸县就业服务管理局（本级）</w:t>
            </w:r>
          </w:p>
        </w:tc>
        <w:tc>
          <w:tcPr>
            <w:tcW w:w="1800" w:type="dxa"/>
            <w:tcBorders>
              <w:top w:val="nil"/>
              <w:left w:val="nil"/>
              <w:bottom w:val="nil"/>
              <w:right w:val="nil"/>
            </w:tcBorders>
            <w:shd w:val="clear" w:color="auto" w:fill="auto"/>
            <w:noWrap/>
            <w:vAlign w:val="bottom"/>
          </w:tcPr>
          <w:p>
            <w:pPr>
              <w:widowControl/>
              <w:jc w:val="left"/>
              <w:rPr>
                <w:rFonts w:ascii="Arial" w:hAnsi="Arial" w:cs="Arial"/>
                <w:color w:val="000000"/>
                <w:kern w:val="0"/>
                <w:sz w:val="20"/>
                <w:szCs w:val="20"/>
              </w:rPr>
            </w:pPr>
          </w:p>
        </w:tc>
        <w:tc>
          <w:tcPr>
            <w:tcW w:w="1800" w:type="dxa"/>
            <w:tcBorders>
              <w:top w:val="nil"/>
              <w:left w:val="nil"/>
              <w:bottom w:val="nil"/>
              <w:right w:val="nil"/>
            </w:tcBorders>
            <w:shd w:val="clear" w:color="auto" w:fill="auto"/>
            <w:noWrap/>
            <w:vAlign w:val="bottom"/>
          </w:tcPr>
          <w:p>
            <w:pPr>
              <w:widowControl/>
              <w:jc w:val="left"/>
              <w:rPr>
                <w:rFonts w:ascii="Arial" w:hAnsi="Arial" w:cs="Arial"/>
                <w:color w:val="000000"/>
                <w:kern w:val="0"/>
                <w:sz w:val="20"/>
                <w:szCs w:val="20"/>
              </w:rPr>
            </w:pPr>
          </w:p>
        </w:tc>
      </w:tr>
      <w:tr>
        <w:tblPrEx>
          <w:tblCellMar>
            <w:top w:w="0" w:type="dxa"/>
            <w:left w:w="108" w:type="dxa"/>
            <w:bottom w:w="0" w:type="dxa"/>
            <w:right w:w="108" w:type="dxa"/>
          </w:tblCellMar>
        </w:tblPrEx>
        <w:trPr>
          <w:trHeight w:val="435" w:hRule="atLeast"/>
        </w:trPr>
        <w:tc>
          <w:tcPr>
            <w:tcW w:w="906" w:type="dxa"/>
            <w:gridSpan w:val="3"/>
            <w:vMerge w:val="restart"/>
            <w:tcBorders>
              <w:top w:val="single" w:color="000000" w:sz="4" w:space="0"/>
              <w:left w:val="single" w:color="000000" w:sz="4" w:space="0"/>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科目编码</w:t>
            </w:r>
          </w:p>
        </w:tc>
        <w:tc>
          <w:tcPr>
            <w:tcW w:w="4147" w:type="dxa"/>
            <w:vMerge w:val="restart"/>
            <w:tcBorders>
              <w:top w:val="single" w:color="000000" w:sz="4" w:space="0"/>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科目名称</w:t>
            </w:r>
          </w:p>
        </w:tc>
        <w:tc>
          <w:tcPr>
            <w:tcW w:w="1800" w:type="dxa"/>
            <w:vMerge w:val="restart"/>
            <w:tcBorders>
              <w:top w:val="single" w:color="000000" w:sz="4" w:space="0"/>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本年收入合计</w:t>
            </w:r>
          </w:p>
        </w:tc>
        <w:tc>
          <w:tcPr>
            <w:tcW w:w="1800" w:type="dxa"/>
            <w:vMerge w:val="restart"/>
            <w:tcBorders>
              <w:top w:val="single" w:color="000000" w:sz="4" w:space="0"/>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一般公共预算财政拨款收入</w:t>
            </w:r>
          </w:p>
        </w:tc>
      </w:tr>
      <w:tr>
        <w:tblPrEx>
          <w:tblCellMar>
            <w:top w:w="0" w:type="dxa"/>
            <w:left w:w="108" w:type="dxa"/>
            <w:bottom w:w="0" w:type="dxa"/>
            <w:right w:w="108" w:type="dxa"/>
          </w:tblCellMar>
        </w:tblPrEx>
        <w:trPr>
          <w:trHeight w:val="435" w:hRule="atLeast"/>
        </w:trPr>
        <w:tc>
          <w:tcPr>
            <w:tcW w:w="906" w:type="dxa"/>
            <w:gridSpan w:val="3"/>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47"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80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80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r>
      <w:tr>
        <w:tblPrEx>
          <w:tblCellMar>
            <w:top w:w="0" w:type="dxa"/>
            <w:left w:w="108" w:type="dxa"/>
            <w:bottom w:w="0" w:type="dxa"/>
            <w:right w:w="108" w:type="dxa"/>
          </w:tblCellMar>
        </w:tblPrEx>
        <w:trPr>
          <w:trHeight w:val="435" w:hRule="atLeast"/>
        </w:trPr>
        <w:tc>
          <w:tcPr>
            <w:tcW w:w="906" w:type="dxa"/>
            <w:gridSpan w:val="3"/>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47"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80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80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r>
      <w:tr>
        <w:tblPrEx>
          <w:tblCellMar>
            <w:top w:w="0" w:type="dxa"/>
            <w:left w:w="108" w:type="dxa"/>
            <w:bottom w:w="0" w:type="dxa"/>
            <w:right w:w="108" w:type="dxa"/>
          </w:tblCellMar>
        </w:tblPrEx>
        <w:trPr>
          <w:trHeight w:val="435" w:hRule="atLeast"/>
        </w:trPr>
        <w:tc>
          <w:tcPr>
            <w:tcW w:w="906" w:type="dxa"/>
            <w:gridSpan w:val="3"/>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47"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80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80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r>
      <w:tr>
        <w:tblPrEx>
          <w:tblCellMar>
            <w:top w:w="0" w:type="dxa"/>
            <w:left w:w="108" w:type="dxa"/>
            <w:bottom w:w="0" w:type="dxa"/>
            <w:right w:w="108" w:type="dxa"/>
          </w:tblCellMar>
        </w:tblPrEx>
        <w:trPr>
          <w:trHeight w:val="308" w:hRule="atLeast"/>
        </w:trPr>
        <w:tc>
          <w:tcPr>
            <w:tcW w:w="302" w:type="dxa"/>
            <w:vMerge w:val="restart"/>
            <w:tcBorders>
              <w:top w:val="nil"/>
              <w:left w:val="single" w:color="000000" w:sz="4" w:space="0"/>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类</w:t>
            </w:r>
          </w:p>
        </w:tc>
        <w:tc>
          <w:tcPr>
            <w:tcW w:w="302" w:type="dxa"/>
            <w:vMerge w:val="restart"/>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款</w:t>
            </w:r>
          </w:p>
        </w:tc>
        <w:tc>
          <w:tcPr>
            <w:tcW w:w="302" w:type="dxa"/>
            <w:vMerge w:val="restart"/>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项</w:t>
            </w:r>
          </w:p>
        </w:tc>
        <w:tc>
          <w:tcPr>
            <w:tcW w:w="4147" w:type="dxa"/>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栏次</w:t>
            </w:r>
          </w:p>
        </w:tc>
        <w:tc>
          <w:tcPr>
            <w:tcW w:w="1800" w:type="dxa"/>
            <w:tcBorders>
              <w:top w:val="nil"/>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1</w:t>
            </w:r>
          </w:p>
        </w:tc>
        <w:tc>
          <w:tcPr>
            <w:tcW w:w="1800" w:type="dxa"/>
            <w:tcBorders>
              <w:top w:val="nil"/>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0"/>
                <w:szCs w:val="20"/>
              </w:rPr>
            </w:pPr>
            <w:r>
              <w:rPr>
                <w:rFonts w:hint="eastAsia" w:ascii="宋体" w:hAnsi="宋体" w:cs="Arial"/>
                <w:color w:val="000000"/>
                <w:kern w:val="0"/>
                <w:sz w:val="20"/>
                <w:szCs w:val="20"/>
              </w:rPr>
              <w:t>2</w:t>
            </w:r>
          </w:p>
        </w:tc>
      </w:tr>
      <w:tr>
        <w:tblPrEx>
          <w:tblCellMar>
            <w:top w:w="0" w:type="dxa"/>
            <w:left w:w="108" w:type="dxa"/>
            <w:bottom w:w="0" w:type="dxa"/>
            <w:right w:w="108" w:type="dxa"/>
          </w:tblCellMar>
        </w:tblPrEx>
        <w:trPr>
          <w:trHeight w:val="308" w:hRule="atLeast"/>
        </w:trPr>
        <w:tc>
          <w:tcPr>
            <w:tcW w:w="302"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302" w:type="dxa"/>
            <w:vMerge w:val="continue"/>
            <w:tcBorders>
              <w:top w:val="nil"/>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302" w:type="dxa"/>
            <w:vMerge w:val="continue"/>
            <w:tcBorders>
              <w:top w:val="nil"/>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47" w:type="dxa"/>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合计</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1,303.88</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1,303.88</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社会保障和就业支出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263.49</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263.49</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20801</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人力资源和社会保障管理事务</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246.45</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246.45</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2080106</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就业管理事务</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137.80</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137.80</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2080109</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社会保险经办机构</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108.65</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108.65</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20805</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行政事业单位养老支出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2080505</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机关事业单位基本养老保险缴费支出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20810</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社会福利</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2081099</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其他社会福利支出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210</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卫生健康支出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21011</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行政事业单位医疗</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2101101</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行政单位医疗</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211</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节能环保支出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21199</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其他节能环保支出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2119901</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其他节能环保支出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221</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住房保障支出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22102</w:t>
            </w:r>
          </w:p>
        </w:tc>
        <w:tc>
          <w:tcPr>
            <w:tcW w:w="4147"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住房改革支出</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80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r>
      <w:tr>
        <w:tblPrEx>
          <w:tblCellMar>
            <w:top w:w="0" w:type="dxa"/>
            <w:left w:w="108" w:type="dxa"/>
            <w:bottom w:w="0" w:type="dxa"/>
            <w:right w:w="108" w:type="dxa"/>
          </w:tblCellMar>
        </w:tblPrEx>
        <w:trPr>
          <w:trHeight w:val="308" w:hRule="atLeast"/>
        </w:trPr>
        <w:tc>
          <w:tcPr>
            <w:tcW w:w="906" w:type="dxa"/>
            <w:gridSpan w:val="3"/>
            <w:tcBorders>
              <w:top w:val="nil"/>
              <w:left w:val="single" w:color="000000" w:sz="4" w:space="0"/>
              <w:bottom w:val="single" w:color="000000" w:sz="8"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2210201</w:t>
            </w:r>
          </w:p>
        </w:tc>
        <w:tc>
          <w:tcPr>
            <w:tcW w:w="4147" w:type="dxa"/>
            <w:tcBorders>
              <w:top w:val="nil"/>
              <w:left w:val="nil"/>
              <w:bottom w:val="single" w:color="000000" w:sz="8"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住房公积金</w:t>
            </w:r>
          </w:p>
        </w:tc>
        <w:tc>
          <w:tcPr>
            <w:tcW w:w="1800" w:type="dxa"/>
            <w:tcBorders>
              <w:top w:val="nil"/>
              <w:left w:val="nil"/>
              <w:bottom w:val="single" w:color="000000" w:sz="8"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800" w:type="dxa"/>
            <w:tcBorders>
              <w:top w:val="nil"/>
              <w:left w:val="nil"/>
              <w:bottom w:val="single" w:color="000000" w:sz="8"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r>
    </w:tbl>
    <w:p>
      <w:pPr>
        <w:spacing w:line="578" w:lineRule="exact"/>
        <w:ind w:firstLine="560" w:firstLineChars="200"/>
        <w:rPr>
          <w:rFonts w:ascii="宋体" w:hAnsi="宋体" w:cs="宋体"/>
          <w:color w:val="000000" w:themeColor="text1"/>
          <w:sz w:val="28"/>
          <w:szCs w:val="28"/>
        </w:rPr>
      </w:pPr>
      <w:r>
        <w:rPr>
          <w:rFonts w:hint="eastAsia" w:ascii="宋体" w:hAnsi="宋体" w:cs="宋体"/>
          <w:color w:val="000000" w:themeColor="text1"/>
          <w:sz w:val="28"/>
          <w:szCs w:val="28"/>
        </w:rPr>
        <w:t>（二）部门财政资金支出情况</w:t>
      </w:r>
    </w:p>
    <w:p>
      <w:pPr>
        <w:spacing w:line="578" w:lineRule="exact"/>
        <w:ind w:firstLine="800" w:firstLineChars="250"/>
        <w:rPr>
          <w:rFonts w:ascii="仿宋" w:hAnsi="仿宋" w:eastAsia="仿宋"/>
          <w:bCs/>
          <w:color w:val="000000"/>
          <w:kern w:val="0"/>
          <w:sz w:val="32"/>
          <w:szCs w:val="32"/>
        </w:rPr>
      </w:pPr>
      <w:r>
        <w:rPr>
          <w:rFonts w:ascii="仿宋" w:hAnsi="仿宋" w:eastAsia="仿宋"/>
          <w:bCs/>
          <w:color w:val="000000"/>
          <w:kern w:val="0"/>
          <w:sz w:val="32"/>
          <w:szCs w:val="32"/>
        </w:rPr>
        <w:t>20</w:t>
      </w:r>
      <w:r>
        <w:rPr>
          <w:rFonts w:hint="eastAsia" w:ascii="仿宋" w:hAnsi="仿宋" w:eastAsia="仿宋"/>
          <w:bCs/>
          <w:color w:val="000000"/>
          <w:kern w:val="0"/>
          <w:sz w:val="32"/>
          <w:szCs w:val="32"/>
        </w:rPr>
        <w:t>20年本年支出合计1309.19万元，其中：基本支出225.33万元，占17.21</w:t>
      </w:r>
      <w:r>
        <w:rPr>
          <w:rFonts w:ascii="仿宋" w:hAnsi="仿宋" w:eastAsia="仿宋"/>
          <w:bCs/>
          <w:color w:val="000000"/>
          <w:kern w:val="0"/>
          <w:sz w:val="32"/>
          <w:szCs w:val="32"/>
        </w:rPr>
        <w:t>%</w:t>
      </w:r>
      <w:r>
        <w:rPr>
          <w:rFonts w:hint="eastAsia" w:ascii="仿宋" w:hAnsi="仿宋" w:eastAsia="仿宋"/>
          <w:bCs/>
          <w:color w:val="000000"/>
          <w:kern w:val="0"/>
          <w:sz w:val="32"/>
          <w:szCs w:val="32"/>
        </w:rPr>
        <w:t>；项目支出1083.86万元，占82.79</w:t>
      </w:r>
      <w:r>
        <w:rPr>
          <w:rFonts w:ascii="仿宋" w:hAnsi="仿宋" w:eastAsia="仿宋"/>
          <w:bCs/>
          <w:color w:val="000000"/>
          <w:kern w:val="0"/>
          <w:sz w:val="32"/>
          <w:szCs w:val="32"/>
        </w:rPr>
        <w:t>%</w:t>
      </w:r>
      <w:r>
        <w:rPr>
          <w:rFonts w:hint="eastAsia" w:ascii="仿宋" w:hAnsi="仿宋" w:eastAsia="仿宋"/>
          <w:bCs/>
          <w:color w:val="000000"/>
          <w:kern w:val="0"/>
          <w:sz w:val="32"/>
          <w:szCs w:val="32"/>
        </w:rPr>
        <w:t>。（</w:t>
      </w:r>
      <w:r>
        <w:rPr>
          <w:rFonts w:ascii="仿宋" w:hAnsi="仿宋" w:eastAsia="仿宋"/>
          <w:bCs/>
          <w:kern w:val="0"/>
        </w:rPr>
        <w:t>见20</w:t>
      </w:r>
      <w:r>
        <w:rPr>
          <w:rFonts w:hint="eastAsia" w:ascii="仿宋" w:hAnsi="仿宋" w:eastAsia="仿宋"/>
          <w:bCs/>
          <w:kern w:val="0"/>
        </w:rPr>
        <w:t>20</w:t>
      </w:r>
      <w:r>
        <w:rPr>
          <w:rFonts w:ascii="仿宋" w:hAnsi="仿宋" w:eastAsia="仿宋"/>
          <w:bCs/>
          <w:kern w:val="0"/>
        </w:rPr>
        <w:t>年财政资金支出明细表）</w:t>
      </w:r>
    </w:p>
    <w:p>
      <w:pPr>
        <w:pStyle w:val="2"/>
        <w:rPr>
          <w:sz w:val="28"/>
          <w:szCs w:val="28"/>
        </w:rPr>
      </w:pPr>
      <w:r>
        <w:rPr>
          <w:rFonts w:hint="eastAsia" w:ascii="仿宋" w:hAnsi="仿宋" w:eastAsia="仿宋" w:cs="Times New Roman"/>
          <w:bCs/>
          <w:kern w:val="0"/>
        </w:rPr>
        <w:t xml:space="preserve">                                </w:t>
      </w:r>
      <w:r>
        <w:rPr>
          <w:rFonts w:hint="eastAsia" w:ascii="仿宋" w:hAnsi="仿宋" w:eastAsia="仿宋" w:cs="Times New Roman"/>
          <w:bCs/>
          <w:kern w:val="0"/>
          <w:sz w:val="28"/>
          <w:szCs w:val="28"/>
        </w:rPr>
        <w:t xml:space="preserve"> </w:t>
      </w:r>
      <w:r>
        <w:rPr>
          <w:rFonts w:ascii="仿宋" w:hAnsi="仿宋" w:eastAsia="仿宋" w:cs="Times New Roman"/>
          <w:bCs/>
          <w:kern w:val="0"/>
          <w:sz w:val="28"/>
          <w:szCs w:val="28"/>
        </w:rPr>
        <w:t>20</w:t>
      </w:r>
      <w:r>
        <w:rPr>
          <w:rFonts w:hint="eastAsia" w:ascii="仿宋" w:hAnsi="仿宋" w:eastAsia="仿宋"/>
          <w:bCs/>
          <w:kern w:val="0"/>
          <w:sz w:val="28"/>
          <w:szCs w:val="28"/>
        </w:rPr>
        <w:t>20</w:t>
      </w:r>
      <w:r>
        <w:rPr>
          <w:rFonts w:ascii="仿宋" w:hAnsi="仿宋" w:eastAsia="仿宋" w:cs="Times New Roman"/>
          <w:bCs/>
          <w:kern w:val="0"/>
          <w:sz w:val="28"/>
          <w:szCs w:val="28"/>
        </w:rPr>
        <w:t>年财政资金支出明细表</w:t>
      </w:r>
    </w:p>
    <w:tbl>
      <w:tblPr>
        <w:tblStyle w:val="5"/>
        <w:tblW w:w="9140" w:type="dxa"/>
        <w:tblInd w:w="95" w:type="dxa"/>
        <w:tblLayout w:type="autofit"/>
        <w:tblCellMar>
          <w:top w:w="0" w:type="dxa"/>
          <w:left w:w="108" w:type="dxa"/>
          <w:bottom w:w="0" w:type="dxa"/>
          <w:right w:w="108" w:type="dxa"/>
        </w:tblCellMar>
      </w:tblPr>
      <w:tblGrid>
        <w:gridCol w:w="427"/>
        <w:gridCol w:w="427"/>
        <w:gridCol w:w="427"/>
        <w:gridCol w:w="4041"/>
        <w:gridCol w:w="1179"/>
        <w:gridCol w:w="1431"/>
        <w:gridCol w:w="1373"/>
      </w:tblGrid>
      <w:tr>
        <w:tblPrEx>
          <w:tblCellMar>
            <w:top w:w="0" w:type="dxa"/>
            <w:left w:w="108" w:type="dxa"/>
            <w:bottom w:w="0" w:type="dxa"/>
            <w:right w:w="108" w:type="dxa"/>
          </w:tblCellMar>
        </w:tblPrEx>
        <w:trPr>
          <w:trHeight w:val="300" w:hRule="atLeast"/>
        </w:trPr>
        <w:tc>
          <w:tcPr>
            <w:tcW w:w="6240" w:type="dxa"/>
            <w:gridSpan w:val="5"/>
            <w:tcBorders>
              <w:top w:val="nil"/>
              <w:left w:val="nil"/>
              <w:bottom w:val="nil"/>
              <w:right w:val="nil"/>
            </w:tcBorders>
            <w:shd w:val="clear" w:color="auto" w:fill="auto"/>
            <w:noWrap/>
            <w:vAlign w:val="bottom"/>
          </w:tcPr>
          <w:p>
            <w:pPr>
              <w:widowControl/>
              <w:jc w:val="left"/>
              <w:rPr>
                <w:rFonts w:ascii="仿宋" w:hAnsi="仿宋" w:eastAsia="仿宋" w:cs="Arial"/>
                <w:color w:val="000000"/>
                <w:kern w:val="0"/>
                <w:sz w:val="18"/>
                <w:szCs w:val="18"/>
              </w:rPr>
            </w:pPr>
            <w:r>
              <w:rPr>
                <w:rFonts w:hint="eastAsia" w:ascii="仿宋" w:hAnsi="仿宋" w:eastAsia="仿宋" w:cs="Arial"/>
                <w:color w:val="000000"/>
                <w:kern w:val="0"/>
                <w:sz w:val="18"/>
                <w:szCs w:val="18"/>
              </w:rPr>
              <w:t>编制单位：四川省泸州市泸县就业服务管理局（本级）</w:t>
            </w:r>
          </w:p>
        </w:tc>
        <w:tc>
          <w:tcPr>
            <w:tcW w:w="1480" w:type="dxa"/>
            <w:tcBorders>
              <w:top w:val="nil"/>
              <w:left w:val="nil"/>
              <w:bottom w:val="nil"/>
              <w:right w:val="nil"/>
            </w:tcBorders>
            <w:shd w:val="clear" w:color="auto" w:fill="auto"/>
            <w:noWrap/>
            <w:vAlign w:val="bottom"/>
          </w:tcPr>
          <w:p>
            <w:pPr>
              <w:widowControl/>
              <w:jc w:val="center"/>
              <w:rPr>
                <w:rFonts w:ascii="宋体" w:hAnsi="宋体" w:cs="Arial"/>
                <w:color w:val="000000"/>
                <w:kern w:val="0"/>
                <w:sz w:val="24"/>
              </w:rPr>
            </w:pPr>
          </w:p>
        </w:tc>
        <w:tc>
          <w:tcPr>
            <w:tcW w:w="1420" w:type="dxa"/>
            <w:tcBorders>
              <w:top w:val="nil"/>
              <w:left w:val="nil"/>
              <w:bottom w:val="nil"/>
              <w:right w:val="nil"/>
            </w:tcBorders>
            <w:shd w:val="clear" w:color="auto" w:fill="auto"/>
            <w:noWrap/>
            <w:vAlign w:val="bottom"/>
          </w:tcPr>
          <w:p>
            <w:pPr>
              <w:widowControl/>
              <w:jc w:val="left"/>
              <w:rPr>
                <w:rFonts w:ascii="Arial" w:hAnsi="Arial" w:cs="Arial"/>
                <w:color w:val="000000"/>
                <w:kern w:val="0"/>
                <w:sz w:val="20"/>
                <w:szCs w:val="20"/>
              </w:rPr>
            </w:pPr>
          </w:p>
        </w:tc>
      </w:tr>
      <w:tr>
        <w:tblPrEx>
          <w:tblCellMar>
            <w:top w:w="0" w:type="dxa"/>
            <w:left w:w="108" w:type="dxa"/>
            <w:bottom w:w="0" w:type="dxa"/>
            <w:right w:w="108" w:type="dxa"/>
          </w:tblCellMar>
        </w:tblPrEx>
        <w:trPr>
          <w:trHeight w:val="308" w:hRule="atLeast"/>
        </w:trPr>
        <w:tc>
          <w:tcPr>
            <w:tcW w:w="5021" w:type="dxa"/>
            <w:gridSpan w:val="4"/>
            <w:tcBorders>
              <w:top w:val="single" w:color="000000" w:sz="4" w:space="0"/>
              <w:left w:val="single" w:color="000000" w:sz="4" w:space="0"/>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项目</w:t>
            </w:r>
          </w:p>
        </w:tc>
        <w:tc>
          <w:tcPr>
            <w:tcW w:w="1219" w:type="dxa"/>
            <w:vMerge w:val="restart"/>
            <w:tcBorders>
              <w:top w:val="single" w:color="000000" w:sz="4" w:space="0"/>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本年支出合计</w:t>
            </w:r>
          </w:p>
        </w:tc>
        <w:tc>
          <w:tcPr>
            <w:tcW w:w="1480" w:type="dxa"/>
            <w:vMerge w:val="restart"/>
            <w:tcBorders>
              <w:top w:val="single" w:color="000000" w:sz="4" w:space="0"/>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基本支出</w:t>
            </w:r>
          </w:p>
        </w:tc>
        <w:tc>
          <w:tcPr>
            <w:tcW w:w="1420" w:type="dxa"/>
            <w:vMerge w:val="restart"/>
            <w:tcBorders>
              <w:top w:val="single" w:color="000000" w:sz="4" w:space="0"/>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项目支出</w:t>
            </w:r>
          </w:p>
        </w:tc>
      </w:tr>
      <w:tr>
        <w:tblPrEx>
          <w:tblCellMar>
            <w:top w:w="0" w:type="dxa"/>
            <w:left w:w="108" w:type="dxa"/>
            <w:bottom w:w="0" w:type="dxa"/>
            <w:right w:w="108" w:type="dxa"/>
          </w:tblCellMar>
        </w:tblPrEx>
        <w:trPr>
          <w:trHeight w:val="435" w:hRule="atLeast"/>
        </w:trPr>
        <w:tc>
          <w:tcPr>
            <w:tcW w:w="822" w:type="dxa"/>
            <w:gridSpan w:val="3"/>
            <w:vMerge w:val="restart"/>
            <w:tcBorders>
              <w:top w:val="nil"/>
              <w:left w:val="single" w:color="000000" w:sz="4" w:space="0"/>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支出功能分类科目编码</w:t>
            </w:r>
          </w:p>
        </w:tc>
        <w:tc>
          <w:tcPr>
            <w:tcW w:w="4199" w:type="dxa"/>
            <w:vMerge w:val="restart"/>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科目名称</w:t>
            </w:r>
          </w:p>
        </w:tc>
        <w:tc>
          <w:tcPr>
            <w:tcW w:w="1219"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48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42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r>
      <w:tr>
        <w:tblPrEx>
          <w:tblCellMar>
            <w:top w:w="0" w:type="dxa"/>
            <w:left w:w="108" w:type="dxa"/>
            <w:bottom w:w="0" w:type="dxa"/>
            <w:right w:w="108" w:type="dxa"/>
          </w:tblCellMar>
        </w:tblPrEx>
        <w:trPr>
          <w:trHeight w:val="435" w:hRule="atLeast"/>
        </w:trPr>
        <w:tc>
          <w:tcPr>
            <w:tcW w:w="822"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99" w:type="dxa"/>
            <w:vMerge w:val="continue"/>
            <w:tcBorders>
              <w:top w:val="nil"/>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219"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48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42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r>
      <w:tr>
        <w:tblPrEx>
          <w:tblCellMar>
            <w:top w:w="0" w:type="dxa"/>
            <w:left w:w="108" w:type="dxa"/>
            <w:bottom w:w="0" w:type="dxa"/>
            <w:right w:w="108" w:type="dxa"/>
          </w:tblCellMar>
        </w:tblPrEx>
        <w:trPr>
          <w:trHeight w:val="435" w:hRule="atLeast"/>
        </w:trPr>
        <w:tc>
          <w:tcPr>
            <w:tcW w:w="822"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99" w:type="dxa"/>
            <w:vMerge w:val="continue"/>
            <w:tcBorders>
              <w:top w:val="nil"/>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219"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48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1420" w:type="dxa"/>
            <w:vMerge w:val="continue"/>
            <w:tcBorders>
              <w:top w:val="single" w:color="000000" w:sz="4" w:space="0"/>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r>
      <w:tr>
        <w:tblPrEx>
          <w:tblCellMar>
            <w:top w:w="0" w:type="dxa"/>
            <w:left w:w="108" w:type="dxa"/>
            <w:bottom w:w="0" w:type="dxa"/>
            <w:right w:w="108" w:type="dxa"/>
          </w:tblCellMar>
        </w:tblPrEx>
        <w:trPr>
          <w:trHeight w:val="308" w:hRule="atLeast"/>
        </w:trPr>
        <w:tc>
          <w:tcPr>
            <w:tcW w:w="274" w:type="dxa"/>
            <w:vMerge w:val="restart"/>
            <w:tcBorders>
              <w:top w:val="nil"/>
              <w:left w:val="single" w:color="000000" w:sz="4" w:space="0"/>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类</w:t>
            </w:r>
          </w:p>
        </w:tc>
        <w:tc>
          <w:tcPr>
            <w:tcW w:w="274" w:type="dxa"/>
            <w:vMerge w:val="restart"/>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款</w:t>
            </w:r>
          </w:p>
        </w:tc>
        <w:tc>
          <w:tcPr>
            <w:tcW w:w="274" w:type="dxa"/>
            <w:vMerge w:val="restart"/>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项</w:t>
            </w:r>
          </w:p>
        </w:tc>
        <w:tc>
          <w:tcPr>
            <w:tcW w:w="4199" w:type="dxa"/>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栏次</w:t>
            </w:r>
          </w:p>
        </w:tc>
        <w:tc>
          <w:tcPr>
            <w:tcW w:w="1219" w:type="dxa"/>
            <w:tcBorders>
              <w:top w:val="nil"/>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1</w:t>
            </w:r>
          </w:p>
        </w:tc>
        <w:tc>
          <w:tcPr>
            <w:tcW w:w="1480" w:type="dxa"/>
            <w:tcBorders>
              <w:top w:val="nil"/>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2</w:t>
            </w:r>
          </w:p>
        </w:tc>
        <w:tc>
          <w:tcPr>
            <w:tcW w:w="1420" w:type="dxa"/>
            <w:tcBorders>
              <w:top w:val="nil"/>
              <w:left w:val="nil"/>
              <w:bottom w:val="single" w:color="000000" w:sz="4" w:space="0"/>
              <w:right w:val="single" w:color="000000" w:sz="4" w:space="0"/>
            </w:tcBorders>
            <w:shd w:val="clear" w:color="FFFFFF" w:fill="C0C0C0"/>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3</w:t>
            </w:r>
          </w:p>
        </w:tc>
      </w:tr>
      <w:tr>
        <w:tblPrEx>
          <w:tblCellMar>
            <w:top w:w="0" w:type="dxa"/>
            <w:left w:w="108" w:type="dxa"/>
            <w:bottom w:w="0" w:type="dxa"/>
            <w:right w:w="108" w:type="dxa"/>
          </w:tblCellMar>
        </w:tblPrEx>
        <w:trPr>
          <w:trHeight w:val="308" w:hRule="atLeast"/>
        </w:trPr>
        <w:tc>
          <w:tcPr>
            <w:tcW w:w="274"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274" w:type="dxa"/>
            <w:vMerge w:val="continue"/>
            <w:tcBorders>
              <w:top w:val="nil"/>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274" w:type="dxa"/>
            <w:vMerge w:val="continue"/>
            <w:tcBorders>
              <w:top w:val="nil"/>
              <w:left w:val="nil"/>
              <w:bottom w:val="single" w:color="000000" w:sz="4" w:space="0"/>
              <w:right w:val="single" w:color="000000" w:sz="4" w:space="0"/>
            </w:tcBorders>
            <w:vAlign w:val="center"/>
          </w:tcPr>
          <w:p>
            <w:pPr>
              <w:widowControl/>
              <w:jc w:val="left"/>
              <w:rPr>
                <w:rFonts w:ascii="宋体" w:hAnsi="宋体" w:cs="Arial"/>
                <w:color w:val="000000"/>
                <w:kern w:val="0"/>
                <w:sz w:val="22"/>
                <w:szCs w:val="22"/>
              </w:rPr>
            </w:pPr>
          </w:p>
        </w:tc>
        <w:tc>
          <w:tcPr>
            <w:tcW w:w="4199" w:type="dxa"/>
            <w:tcBorders>
              <w:top w:val="nil"/>
              <w:left w:val="nil"/>
              <w:bottom w:val="single" w:color="000000" w:sz="4" w:space="0"/>
              <w:right w:val="single" w:color="000000" w:sz="4" w:space="0"/>
            </w:tcBorders>
            <w:shd w:val="clear" w:color="FFFFFF" w:fill="C0C0C0"/>
            <w:noWrap/>
            <w:vAlign w:val="center"/>
          </w:tcPr>
          <w:p>
            <w:pPr>
              <w:widowControl/>
              <w:jc w:val="center"/>
              <w:rPr>
                <w:rFonts w:ascii="宋体" w:hAnsi="宋体" w:cs="Arial"/>
                <w:color w:val="000000"/>
                <w:kern w:val="0"/>
                <w:sz w:val="22"/>
                <w:szCs w:val="22"/>
              </w:rPr>
            </w:pPr>
            <w:r>
              <w:rPr>
                <w:rFonts w:hint="eastAsia" w:ascii="宋体" w:hAnsi="宋体" w:cs="Arial"/>
                <w:color w:val="000000"/>
                <w:kern w:val="0"/>
                <w:sz w:val="22"/>
                <w:szCs w:val="22"/>
              </w:rPr>
              <w:t>合计</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1,309.19</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225.33</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1,083.86</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社会保障和就业支出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268.80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200.94</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67.86</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20801</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人力资源和社会保障管理事务</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251.75</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184.69</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67.06</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2080106</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就业管理事务</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137.80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137.80</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2080109</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社会保险经办机构</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113.95</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46.89</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67.06</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20805</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行政事业单位养老支出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2080505</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机关事业单位基本养老保险缴费支出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16.24</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20810</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社会福利</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2081099</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其他社会福利支出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0.80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210</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卫生健康支出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21011</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行政事业单位医疗</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12.22</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2101101</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行政单位医疗</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12.21</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211</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节能环保支出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21199</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其他节能环保支出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2119901</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其他节能环保支出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1,016.00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221</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住房保障支出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22102</w:t>
            </w:r>
          </w:p>
        </w:tc>
        <w:tc>
          <w:tcPr>
            <w:tcW w:w="4199" w:type="dxa"/>
            <w:tcBorders>
              <w:top w:val="nil"/>
              <w:left w:val="nil"/>
              <w:bottom w:val="single" w:color="000000" w:sz="4"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住房改革支出</w:t>
            </w:r>
          </w:p>
        </w:tc>
        <w:tc>
          <w:tcPr>
            <w:tcW w:w="1219"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48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420" w:type="dxa"/>
            <w:tcBorders>
              <w:top w:val="nil"/>
              <w:left w:val="nil"/>
              <w:bottom w:val="single" w:color="000000" w:sz="4"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r>
        <w:tblPrEx>
          <w:tblCellMar>
            <w:top w:w="0" w:type="dxa"/>
            <w:left w:w="108" w:type="dxa"/>
            <w:bottom w:w="0" w:type="dxa"/>
            <w:right w:w="108" w:type="dxa"/>
          </w:tblCellMar>
        </w:tblPrEx>
        <w:trPr>
          <w:trHeight w:val="308" w:hRule="atLeast"/>
        </w:trPr>
        <w:tc>
          <w:tcPr>
            <w:tcW w:w="822" w:type="dxa"/>
            <w:gridSpan w:val="3"/>
            <w:tcBorders>
              <w:top w:val="nil"/>
              <w:left w:val="single" w:color="000000" w:sz="4" w:space="0"/>
              <w:bottom w:val="single" w:color="000000" w:sz="8"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2210201</w:t>
            </w:r>
          </w:p>
        </w:tc>
        <w:tc>
          <w:tcPr>
            <w:tcW w:w="4199" w:type="dxa"/>
            <w:tcBorders>
              <w:top w:val="nil"/>
              <w:left w:val="nil"/>
              <w:bottom w:val="single" w:color="000000" w:sz="8" w:space="0"/>
              <w:right w:val="single" w:color="000000" w:sz="4" w:space="0"/>
            </w:tcBorders>
            <w:shd w:val="clear" w:color="auto" w:fill="auto"/>
            <w:noWrap/>
            <w:vAlign w:val="center"/>
          </w:tcPr>
          <w:p>
            <w:pPr>
              <w:widowControl/>
              <w:jc w:val="left"/>
              <w:rPr>
                <w:rFonts w:ascii="宋体" w:hAnsi="宋体" w:cs="Arial"/>
                <w:color w:val="000000"/>
                <w:kern w:val="0"/>
                <w:sz w:val="22"/>
                <w:szCs w:val="22"/>
              </w:rPr>
            </w:pPr>
            <w:r>
              <w:rPr>
                <w:rFonts w:hint="eastAsia" w:ascii="宋体" w:hAnsi="宋体" w:cs="Arial"/>
                <w:color w:val="000000"/>
                <w:kern w:val="0"/>
                <w:sz w:val="22"/>
                <w:szCs w:val="22"/>
              </w:rPr>
              <w:t xml:space="preserve">  住房公积金</w:t>
            </w:r>
          </w:p>
        </w:tc>
        <w:tc>
          <w:tcPr>
            <w:tcW w:w="1219" w:type="dxa"/>
            <w:tcBorders>
              <w:top w:val="nil"/>
              <w:left w:val="nil"/>
              <w:bottom w:val="single" w:color="000000" w:sz="8"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480" w:type="dxa"/>
            <w:tcBorders>
              <w:top w:val="nil"/>
              <w:left w:val="nil"/>
              <w:bottom w:val="single" w:color="000000" w:sz="8"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12.18</w:t>
            </w:r>
          </w:p>
        </w:tc>
        <w:tc>
          <w:tcPr>
            <w:tcW w:w="1420" w:type="dxa"/>
            <w:tcBorders>
              <w:top w:val="nil"/>
              <w:left w:val="nil"/>
              <w:bottom w:val="single" w:color="000000" w:sz="8" w:space="0"/>
              <w:right w:val="single" w:color="000000" w:sz="4" w:space="0"/>
            </w:tcBorders>
            <w:shd w:val="clear" w:color="auto" w:fill="auto"/>
            <w:noWrap/>
            <w:vAlign w:val="center"/>
          </w:tcPr>
          <w:p>
            <w:pPr>
              <w:widowControl/>
              <w:jc w:val="right"/>
              <w:rPr>
                <w:rFonts w:ascii="宋体" w:hAnsi="宋体" w:cs="Arial"/>
                <w:color w:val="000000"/>
                <w:kern w:val="0"/>
                <w:sz w:val="22"/>
                <w:szCs w:val="22"/>
              </w:rPr>
            </w:pPr>
            <w:r>
              <w:rPr>
                <w:rFonts w:hint="eastAsia" w:ascii="宋体" w:hAnsi="宋体" w:cs="Arial"/>
                <w:color w:val="000000"/>
                <w:kern w:val="0"/>
                <w:sz w:val="22"/>
                <w:szCs w:val="22"/>
              </w:rPr>
              <w:t>0.00</w:t>
            </w:r>
          </w:p>
        </w:tc>
      </w:tr>
    </w:tbl>
    <w:p>
      <w:pPr>
        <w:pStyle w:val="2"/>
        <w:spacing w:line="560" w:lineRule="exact"/>
      </w:pPr>
    </w:p>
    <w:p>
      <w:pPr>
        <w:spacing w:line="560" w:lineRule="exact"/>
        <w:ind w:firstLine="551" w:firstLineChars="196"/>
        <w:rPr>
          <w:rFonts w:ascii="宋体" w:hAnsi="宋体" w:cs="宋体"/>
          <w:b/>
          <w:bCs/>
          <w:sz w:val="28"/>
          <w:szCs w:val="28"/>
        </w:rPr>
      </w:pPr>
      <w:r>
        <w:rPr>
          <w:rFonts w:hint="eastAsia" w:ascii="宋体" w:hAnsi="宋体" w:cs="宋体"/>
          <w:b/>
          <w:bCs/>
          <w:sz w:val="28"/>
          <w:szCs w:val="28"/>
        </w:rPr>
        <w:t>三、部门财政支出管理情况</w:t>
      </w:r>
    </w:p>
    <w:p>
      <w:pPr>
        <w:spacing w:line="560" w:lineRule="exact"/>
        <w:ind w:firstLine="551" w:firstLineChars="196"/>
        <w:rPr>
          <w:rFonts w:ascii="宋体" w:hAnsi="宋体" w:cs="宋体"/>
          <w:b/>
          <w:sz w:val="28"/>
          <w:szCs w:val="28"/>
        </w:rPr>
      </w:pPr>
      <w:r>
        <w:rPr>
          <w:rFonts w:hint="eastAsia" w:ascii="宋体" w:hAnsi="宋体" w:cs="宋体"/>
          <w:b/>
          <w:sz w:val="28"/>
          <w:szCs w:val="28"/>
        </w:rPr>
        <w:t>（一）预决算编制情况</w:t>
      </w:r>
    </w:p>
    <w:p>
      <w:pPr>
        <w:spacing w:line="560" w:lineRule="exact"/>
        <w:ind w:firstLine="640" w:firstLineChars="200"/>
        <w:jc w:val="left"/>
        <w:rPr>
          <w:rFonts w:ascii="仿宋" w:hAnsi="仿宋" w:eastAsia="仿宋"/>
          <w:bCs/>
          <w:color w:val="000000"/>
          <w:kern w:val="0"/>
          <w:sz w:val="32"/>
          <w:szCs w:val="32"/>
        </w:rPr>
      </w:pPr>
      <w:r>
        <w:rPr>
          <w:rFonts w:hint="eastAsia" w:ascii="仿宋" w:hAnsi="仿宋" w:eastAsia="仿宋"/>
          <w:bCs/>
          <w:color w:val="000000"/>
          <w:kern w:val="0"/>
          <w:sz w:val="32"/>
          <w:szCs w:val="32"/>
        </w:rPr>
        <w:t>严格按照《预算法》、《中华人民共和国预算法实施条例》及《泸县2020年县本级部门预算编制方法和口径》等预算编制的法律、法规，以2020年12月31日为基本支出预算编制基准期。基本支出预算包括人员经费和日常公用经费两部分，采取人员经费按标准、公用经费按定额编制的方法，根据我局职责、结合中长期规划和年度工作计划，认真开展我局的预算编制工作，切实做到数据完整准确。2020年会计核算符合《会计法》和相关财务规定，资金使用按照国家财经法规和机关财务管理制度的规定收支，年末严格按照财政决算编制规定和要求，按时完成决算编制工作。</w:t>
      </w:r>
    </w:p>
    <w:p>
      <w:pPr>
        <w:pStyle w:val="2"/>
        <w:spacing w:line="560" w:lineRule="exact"/>
        <w:rPr>
          <w:rFonts w:ascii="仿宋" w:hAnsi="仿宋" w:eastAsia="仿宋" w:cs="Times New Roman"/>
          <w:bCs/>
          <w:color w:val="000000"/>
          <w:kern w:val="0"/>
          <w:sz w:val="32"/>
          <w:szCs w:val="32"/>
        </w:rPr>
      </w:pPr>
      <w:r>
        <w:rPr>
          <w:rFonts w:hint="eastAsia" w:ascii="仿宋" w:hAnsi="仿宋" w:eastAsia="仿宋" w:cs="Times New Roman"/>
          <w:bCs/>
          <w:color w:val="000000"/>
          <w:kern w:val="0"/>
          <w:sz w:val="32"/>
          <w:szCs w:val="32"/>
        </w:rPr>
        <w:t xml:space="preserve">    对项目资金的预算，提出具体的项目、目标和实施计划，细化项目支出内容，精准编制项目支出绩效目标情况表，提供准确的项目支撑依据，切实做到项目资金编制的合理化、人性化，并在规定的时限内完整、准确的报送到县级财政部门，为全县预算编制工作的按时完成打下基础。   </w:t>
      </w:r>
    </w:p>
    <w:p>
      <w:pPr>
        <w:spacing w:line="560" w:lineRule="exact"/>
        <w:ind w:firstLine="559" w:firstLineChars="199"/>
        <w:rPr>
          <w:rFonts w:ascii="宋体" w:hAnsi="宋体" w:cs="宋体"/>
          <w:b/>
          <w:sz w:val="28"/>
          <w:szCs w:val="28"/>
        </w:rPr>
      </w:pPr>
      <w:r>
        <w:rPr>
          <w:rFonts w:hint="eastAsia" w:ascii="宋体" w:hAnsi="宋体" w:cs="宋体"/>
          <w:b/>
          <w:sz w:val="28"/>
          <w:szCs w:val="28"/>
        </w:rPr>
        <w:t>（二）执行管理情况</w:t>
      </w:r>
    </w:p>
    <w:p>
      <w:pPr>
        <w:pStyle w:val="2"/>
        <w:spacing w:line="560" w:lineRule="exact"/>
        <w:ind w:firstLine="640" w:firstLineChars="200"/>
        <w:rPr>
          <w:rFonts w:ascii="仿宋" w:hAnsi="仿宋" w:eastAsia="仿宋" w:cs="Times New Roman"/>
          <w:bCs/>
          <w:color w:val="000000"/>
          <w:kern w:val="0"/>
          <w:sz w:val="32"/>
          <w:szCs w:val="32"/>
        </w:rPr>
      </w:pPr>
      <w:r>
        <w:rPr>
          <w:rFonts w:hint="eastAsia" w:ascii="仿宋" w:hAnsi="仿宋" w:eastAsia="仿宋" w:cs="Times New Roman"/>
          <w:bCs/>
          <w:color w:val="000000"/>
          <w:kern w:val="0"/>
          <w:sz w:val="32"/>
          <w:szCs w:val="32"/>
        </w:rPr>
        <w:t>资金的支出执行上严格按照预算执行，严格按照先有预算，后有支出的原则，在收到财政下达的各项指标后，按照资金用途，在把好审核关的基础上，按时足额支付各项费用。</w:t>
      </w:r>
    </w:p>
    <w:p>
      <w:pPr>
        <w:pStyle w:val="4"/>
        <w:widowControl/>
        <w:shd w:val="clear" w:color="auto" w:fill="FFFFFF"/>
        <w:spacing w:beforeAutospacing="0" w:afterAutospacing="0" w:line="560" w:lineRule="exact"/>
        <w:ind w:firstLine="641"/>
        <w:rPr>
          <w:rFonts w:ascii="仿宋" w:hAnsi="仿宋" w:eastAsia="仿宋"/>
          <w:bCs/>
          <w:color w:val="000000"/>
          <w:sz w:val="32"/>
          <w:szCs w:val="32"/>
        </w:rPr>
      </w:pPr>
      <w:r>
        <w:rPr>
          <w:rFonts w:hint="eastAsia" w:ascii="仿宋" w:hAnsi="仿宋" w:eastAsia="仿宋"/>
          <w:bCs/>
          <w:color w:val="000000"/>
          <w:sz w:val="32"/>
          <w:szCs w:val="32"/>
        </w:rPr>
        <w:t>6</w:t>
      </w:r>
      <w:r>
        <w:rPr>
          <w:rFonts w:ascii="仿宋" w:hAnsi="仿宋" w:eastAsia="仿宋"/>
          <w:bCs/>
          <w:color w:val="000000"/>
          <w:sz w:val="32"/>
          <w:szCs w:val="32"/>
        </w:rPr>
        <w:t>月执行情况</w:t>
      </w:r>
      <w:r>
        <w:rPr>
          <w:rFonts w:hint="eastAsia" w:ascii="仿宋" w:hAnsi="仿宋" w:eastAsia="仿宋"/>
          <w:bCs/>
          <w:color w:val="000000"/>
          <w:sz w:val="32"/>
          <w:szCs w:val="32"/>
        </w:rPr>
        <w:t>，</w:t>
      </w:r>
      <w:r>
        <w:rPr>
          <w:rFonts w:ascii="仿宋" w:hAnsi="仿宋" w:eastAsia="仿宋"/>
          <w:bCs/>
          <w:color w:val="000000"/>
          <w:sz w:val="32"/>
          <w:szCs w:val="32"/>
        </w:rPr>
        <w:t>1-</w:t>
      </w:r>
      <w:r>
        <w:rPr>
          <w:rFonts w:hint="eastAsia" w:ascii="仿宋" w:hAnsi="仿宋" w:eastAsia="仿宋"/>
          <w:bCs/>
          <w:color w:val="000000"/>
          <w:sz w:val="32"/>
          <w:szCs w:val="32"/>
        </w:rPr>
        <w:t>6</w:t>
      </w:r>
      <w:r>
        <w:rPr>
          <w:rFonts w:ascii="仿宋" w:hAnsi="仿宋" w:eastAsia="仿宋"/>
          <w:bCs/>
          <w:color w:val="000000"/>
          <w:sz w:val="32"/>
          <w:szCs w:val="32"/>
        </w:rPr>
        <w:t>月，本单位</w:t>
      </w:r>
      <w:r>
        <w:rPr>
          <w:rFonts w:hint="eastAsia" w:ascii="仿宋" w:hAnsi="仿宋" w:eastAsia="仿宋"/>
          <w:bCs/>
          <w:color w:val="000000"/>
          <w:sz w:val="32"/>
          <w:szCs w:val="32"/>
        </w:rPr>
        <w:t>基本</w:t>
      </w:r>
      <w:r>
        <w:rPr>
          <w:rFonts w:ascii="仿宋" w:hAnsi="仿宋" w:eastAsia="仿宋"/>
          <w:bCs/>
          <w:color w:val="000000"/>
          <w:sz w:val="32"/>
          <w:szCs w:val="32"/>
        </w:rPr>
        <w:t>支出</w:t>
      </w:r>
      <w:r>
        <w:rPr>
          <w:rFonts w:hint="eastAsia" w:ascii="仿宋" w:hAnsi="仿宋" w:eastAsia="仿宋"/>
          <w:bCs/>
          <w:color w:val="000000"/>
          <w:sz w:val="32"/>
          <w:szCs w:val="32"/>
        </w:rPr>
        <w:t>120.5</w:t>
      </w:r>
      <w:r>
        <w:rPr>
          <w:rFonts w:ascii="仿宋" w:hAnsi="仿宋" w:eastAsia="仿宋"/>
          <w:bCs/>
          <w:color w:val="000000"/>
          <w:sz w:val="32"/>
          <w:szCs w:val="32"/>
        </w:rPr>
        <w:t>万元，为2020年财政拨款收入</w:t>
      </w:r>
      <w:r>
        <w:rPr>
          <w:rFonts w:hint="eastAsia" w:ascii="仿宋" w:hAnsi="仿宋" w:eastAsia="仿宋"/>
          <w:bCs/>
          <w:color w:val="000000"/>
          <w:sz w:val="32"/>
          <w:szCs w:val="32"/>
        </w:rPr>
        <w:t>53.48</w:t>
      </w:r>
      <w:r>
        <w:rPr>
          <w:rFonts w:ascii="仿宋" w:hAnsi="仿宋" w:eastAsia="仿宋"/>
          <w:bCs/>
          <w:color w:val="000000"/>
          <w:sz w:val="32"/>
          <w:szCs w:val="32"/>
        </w:rPr>
        <w:t>%，项目支出</w:t>
      </w:r>
      <w:r>
        <w:rPr>
          <w:rFonts w:hint="eastAsia" w:ascii="仿宋" w:hAnsi="仿宋" w:eastAsia="仿宋"/>
          <w:bCs/>
          <w:color w:val="000000"/>
          <w:sz w:val="32"/>
          <w:szCs w:val="32"/>
        </w:rPr>
        <w:t>551.93</w:t>
      </w:r>
      <w:r>
        <w:rPr>
          <w:rFonts w:ascii="仿宋" w:hAnsi="仿宋" w:eastAsia="仿宋"/>
          <w:bCs/>
          <w:color w:val="000000"/>
          <w:sz w:val="32"/>
          <w:szCs w:val="32"/>
        </w:rPr>
        <w:t>万元，为财政拨款收入的</w:t>
      </w:r>
      <w:r>
        <w:rPr>
          <w:rFonts w:hint="eastAsia" w:ascii="仿宋" w:hAnsi="仿宋" w:eastAsia="仿宋"/>
          <w:bCs/>
          <w:color w:val="000000"/>
          <w:sz w:val="32"/>
          <w:szCs w:val="32"/>
        </w:rPr>
        <w:t>50.92</w:t>
      </w:r>
      <w:r>
        <w:rPr>
          <w:rFonts w:ascii="仿宋" w:hAnsi="仿宋" w:eastAsia="仿宋"/>
          <w:bCs/>
          <w:color w:val="000000"/>
          <w:sz w:val="32"/>
          <w:szCs w:val="32"/>
        </w:rPr>
        <w:t>%</w:t>
      </w:r>
      <w:r>
        <w:rPr>
          <w:rFonts w:hint="eastAsia" w:ascii="仿宋" w:hAnsi="仿宋" w:eastAsia="仿宋"/>
          <w:bCs/>
          <w:color w:val="000000"/>
          <w:sz w:val="32"/>
          <w:szCs w:val="32"/>
        </w:rPr>
        <w:t>。</w:t>
      </w:r>
      <w:r>
        <w:rPr>
          <w:rFonts w:ascii="仿宋" w:hAnsi="仿宋" w:eastAsia="仿宋"/>
          <w:bCs/>
          <w:color w:val="000000"/>
          <w:sz w:val="32"/>
          <w:szCs w:val="32"/>
        </w:rPr>
        <w:t xml:space="preserve"> </w:t>
      </w:r>
    </w:p>
    <w:p>
      <w:pPr>
        <w:pStyle w:val="4"/>
        <w:widowControl/>
        <w:shd w:val="clear" w:color="auto" w:fill="FFFFFF"/>
        <w:spacing w:beforeAutospacing="0" w:afterAutospacing="0" w:line="560" w:lineRule="exact"/>
        <w:ind w:firstLine="641"/>
        <w:rPr>
          <w:rFonts w:ascii="仿宋" w:hAnsi="仿宋" w:eastAsia="仿宋"/>
          <w:bCs/>
          <w:color w:val="000000"/>
          <w:sz w:val="32"/>
          <w:szCs w:val="32"/>
        </w:rPr>
      </w:pPr>
      <w:r>
        <w:rPr>
          <w:rFonts w:hint="eastAsia" w:ascii="仿宋" w:hAnsi="仿宋" w:eastAsia="仿宋"/>
          <w:bCs/>
          <w:color w:val="000000"/>
          <w:sz w:val="32"/>
          <w:szCs w:val="32"/>
        </w:rPr>
        <w:t>全年执行情况</w:t>
      </w:r>
      <w:r>
        <w:rPr>
          <w:rFonts w:ascii="仿宋" w:hAnsi="仿宋" w:eastAsia="仿宋"/>
          <w:bCs/>
          <w:color w:val="000000"/>
          <w:sz w:val="32"/>
          <w:szCs w:val="32"/>
        </w:rPr>
        <w:t>，本单位</w:t>
      </w:r>
      <w:r>
        <w:rPr>
          <w:rFonts w:hint="eastAsia" w:ascii="仿宋" w:hAnsi="仿宋" w:eastAsia="仿宋"/>
          <w:bCs/>
          <w:color w:val="000000"/>
          <w:sz w:val="32"/>
          <w:szCs w:val="32"/>
        </w:rPr>
        <w:t>全年基本</w:t>
      </w:r>
      <w:r>
        <w:rPr>
          <w:rFonts w:ascii="仿宋" w:hAnsi="仿宋" w:eastAsia="仿宋"/>
          <w:bCs/>
          <w:color w:val="000000"/>
          <w:sz w:val="32"/>
          <w:szCs w:val="32"/>
        </w:rPr>
        <w:t>支出</w:t>
      </w:r>
      <w:r>
        <w:rPr>
          <w:rFonts w:hint="eastAsia" w:ascii="仿宋" w:hAnsi="仿宋" w:eastAsia="仿宋"/>
          <w:bCs/>
          <w:color w:val="000000"/>
          <w:sz w:val="32"/>
          <w:szCs w:val="32"/>
        </w:rPr>
        <w:t>225.33</w:t>
      </w:r>
      <w:r>
        <w:rPr>
          <w:rFonts w:ascii="仿宋" w:hAnsi="仿宋" w:eastAsia="仿宋"/>
          <w:bCs/>
          <w:color w:val="000000"/>
          <w:sz w:val="32"/>
          <w:szCs w:val="32"/>
        </w:rPr>
        <w:t>万元，为2020年财政拨款收入</w:t>
      </w:r>
      <w:r>
        <w:rPr>
          <w:rFonts w:hint="eastAsia" w:ascii="仿宋" w:hAnsi="仿宋" w:eastAsia="仿宋"/>
          <w:bCs/>
          <w:color w:val="000000"/>
          <w:sz w:val="32"/>
          <w:szCs w:val="32"/>
        </w:rPr>
        <w:t>100</w:t>
      </w:r>
      <w:r>
        <w:rPr>
          <w:rFonts w:ascii="仿宋" w:hAnsi="仿宋" w:eastAsia="仿宋"/>
          <w:bCs/>
          <w:color w:val="000000"/>
          <w:sz w:val="32"/>
          <w:szCs w:val="32"/>
        </w:rPr>
        <w:t>%，项目支出</w:t>
      </w:r>
      <w:r>
        <w:rPr>
          <w:rFonts w:hint="eastAsia" w:ascii="仿宋" w:hAnsi="仿宋" w:eastAsia="仿宋"/>
          <w:bCs/>
          <w:color w:val="000000"/>
          <w:sz w:val="32"/>
          <w:szCs w:val="32"/>
        </w:rPr>
        <w:t>1083.86</w:t>
      </w:r>
      <w:r>
        <w:rPr>
          <w:rFonts w:ascii="仿宋" w:hAnsi="仿宋" w:eastAsia="仿宋"/>
          <w:bCs/>
          <w:color w:val="000000"/>
          <w:sz w:val="32"/>
          <w:szCs w:val="32"/>
        </w:rPr>
        <w:t>万元，为财政拨款收入的</w:t>
      </w:r>
      <w:r>
        <w:rPr>
          <w:rFonts w:hint="eastAsia" w:ascii="仿宋" w:hAnsi="仿宋" w:eastAsia="仿宋"/>
          <w:bCs/>
          <w:color w:val="000000"/>
          <w:sz w:val="32"/>
          <w:szCs w:val="32"/>
        </w:rPr>
        <w:t>100</w:t>
      </w:r>
      <w:r>
        <w:rPr>
          <w:rFonts w:ascii="仿宋" w:hAnsi="仿宋" w:eastAsia="仿宋"/>
          <w:bCs/>
          <w:color w:val="000000"/>
          <w:sz w:val="32"/>
          <w:szCs w:val="32"/>
        </w:rPr>
        <w:t>%</w:t>
      </w:r>
      <w:r>
        <w:rPr>
          <w:rFonts w:hint="eastAsia" w:ascii="仿宋" w:hAnsi="仿宋" w:eastAsia="仿宋"/>
          <w:bCs/>
          <w:color w:val="000000"/>
          <w:sz w:val="32"/>
          <w:szCs w:val="32"/>
        </w:rPr>
        <w:t>。</w:t>
      </w:r>
      <w:r>
        <w:rPr>
          <w:rFonts w:ascii="仿宋" w:hAnsi="仿宋" w:eastAsia="仿宋"/>
          <w:bCs/>
          <w:color w:val="000000"/>
          <w:sz w:val="32"/>
          <w:szCs w:val="32"/>
        </w:rPr>
        <w:t xml:space="preserve"> </w:t>
      </w:r>
    </w:p>
    <w:p>
      <w:pPr>
        <w:spacing w:line="560" w:lineRule="exact"/>
        <w:ind w:firstLine="559" w:firstLineChars="199"/>
        <w:rPr>
          <w:rFonts w:ascii="宋体" w:hAnsi="宋体" w:cs="宋体"/>
          <w:b/>
          <w:sz w:val="28"/>
          <w:szCs w:val="28"/>
        </w:rPr>
      </w:pPr>
      <w:r>
        <w:rPr>
          <w:rFonts w:hint="eastAsia" w:ascii="宋体" w:hAnsi="宋体" w:cs="宋体"/>
          <w:b/>
          <w:sz w:val="28"/>
          <w:szCs w:val="28"/>
        </w:rPr>
        <w:t>（三）支出绩效情况</w:t>
      </w:r>
    </w:p>
    <w:p>
      <w:pPr>
        <w:spacing w:line="560" w:lineRule="exact"/>
        <w:ind w:firstLine="551" w:firstLineChars="196"/>
        <w:rPr>
          <w:rFonts w:ascii="宋体" w:hAnsi="宋体" w:cs="宋体"/>
          <w:b/>
          <w:sz w:val="28"/>
          <w:szCs w:val="28"/>
        </w:rPr>
      </w:pPr>
      <w:r>
        <w:rPr>
          <w:rFonts w:hint="eastAsia" w:ascii="宋体" w:hAnsi="宋体" w:cs="宋体"/>
          <w:b/>
          <w:sz w:val="28"/>
          <w:szCs w:val="28"/>
        </w:rPr>
        <w:t>1. 部门支出绩效</w:t>
      </w:r>
    </w:p>
    <w:p>
      <w:pPr>
        <w:spacing w:line="560" w:lineRule="exact"/>
        <w:ind w:firstLine="551" w:firstLineChars="196"/>
        <w:rPr>
          <w:rFonts w:ascii="宋体" w:hAnsi="宋体" w:cs="宋体"/>
          <w:b/>
          <w:sz w:val="28"/>
          <w:szCs w:val="28"/>
        </w:rPr>
      </w:pPr>
      <w:r>
        <w:rPr>
          <w:rFonts w:hint="eastAsia" w:ascii="宋体" w:hAnsi="宋体" w:cs="宋体"/>
          <w:b/>
          <w:sz w:val="28"/>
          <w:szCs w:val="28"/>
        </w:rPr>
        <w:t>（1）行政运转保障。</w:t>
      </w:r>
    </w:p>
    <w:p>
      <w:pPr>
        <w:pStyle w:val="2"/>
        <w:spacing w:line="560" w:lineRule="exact"/>
        <w:rPr>
          <w:rFonts w:ascii="仿宋" w:hAnsi="仿宋" w:eastAsia="仿宋" w:cs="Times New Roman"/>
          <w:bCs/>
          <w:color w:val="000000"/>
          <w:kern w:val="0"/>
          <w:sz w:val="32"/>
          <w:szCs w:val="32"/>
        </w:rPr>
      </w:pPr>
      <w:r>
        <w:rPr>
          <w:rFonts w:hint="eastAsia" w:ascii="仿宋" w:hAnsi="仿宋" w:eastAsia="仿宋" w:cs="Times New Roman"/>
          <w:bCs/>
          <w:color w:val="000000"/>
          <w:kern w:val="0"/>
          <w:sz w:val="32"/>
          <w:szCs w:val="32"/>
        </w:rPr>
        <w:t xml:space="preserve">    严格遵守各项财经纪律，加强单位财务管理工作，细化预算编制，严格按照预算执行，确保财务收支平衡，保障单位工作正常运转和各项目标任务的完成。</w:t>
      </w:r>
    </w:p>
    <w:p>
      <w:pPr>
        <w:spacing w:line="560" w:lineRule="exact"/>
        <w:ind w:firstLine="551" w:firstLineChars="196"/>
        <w:rPr>
          <w:rFonts w:ascii="宋体" w:hAnsi="宋体" w:cs="宋体"/>
          <w:b/>
          <w:sz w:val="28"/>
          <w:szCs w:val="28"/>
        </w:rPr>
      </w:pPr>
      <w:r>
        <w:rPr>
          <w:rFonts w:hint="eastAsia" w:ascii="宋体" w:hAnsi="宋体" w:cs="宋体"/>
          <w:b/>
          <w:sz w:val="28"/>
          <w:szCs w:val="28"/>
        </w:rPr>
        <w:t>（2）机关厉行节约。</w:t>
      </w:r>
    </w:p>
    <w:p>
      <w:pPr>
        <w:pStyle w:val="2"/>
        <w:spacing w:line="560" w:lineRule="exact"/>
        <w:rPr>
          <w:rFonts w:ascii="仿宋" w:hAnsi="仿宋" w:eastAsia="仿宋" w:cs="Times New Roman"/>
          <w:bCs/>
          <w:color w:val="000000"/>
          <w:kern w:val="0"/>
          <w:sz w:val="32"/>
          <w:szCs w:val="32"/>
        </w:rPr>
      </w:pPr>
      <w:r>
        <w:rPr>
          <w:rFonts w:hint="eastAsia" w:ascii="仿宋" w:hAnsi="仿宋" w:eastAsia="仿宋" w:cs="Times New Roman"/>
          <w:bCs/>
          <w:color w:val="000000"/>
          <w:kern w:val="0"/>
          <w:sz w:val="32"/>
          <w:szCs w:val="32"/>
        </w:rPr>
        <w:t xml:space="preserve">    在保证单位正常工作需要和人员经费的前提下，严格控制“三公”经费和会议费支出。</w:t>
      </w:r>
      <w:r>
        <w:rPr>
          <w:rFonts w:ascii="仿宋" w:hAnsi="仿宋" w:eastAsia="仿宋" w:cs="Times New Roman"/>
          <w:bCs/>
          <w:color w:val="000000"/>
          <w:kern w:val="0"/>
          <w:sz w:val="32"/>
          <w:szCs w:val="32"/>
        </w:rPr>
        <w:t>根据“总量控制、计划管理”的要求从严控制行政经费，压缩公务费开支，严格控制“三公”经费，资产的配置严格政府采购，按照预算科目和项目资金的规定使用财政资金，保障部门整体支出的规范化、制度化。</w:t>
      </w:r>
    </w:p>
    <w:p>
      <w:pPr>
        <w:spacing w:line="560" w:lineRule="exact"/>
        <w:ind w:firstLine="551" w:firstLineChars="196"/>
        <w:rPr>
          <w:rFonts w:ascii="宋体" w:hAnsi="宋体" w:cs="宋体"/>
          <w:b/>
          <w:sz w:val="28"/>
          <w:szCs w:val="28"/>
        </w:rPr>
      </w:pPr>
      <w:r>
        <w:rPr>
          <w:rFonts w:hint="eastAsia" w:ascii="宋体" w:hAnsi="宋体" w:cs="宋体"/>
          <w:b/>
          <w:sz w:val="28"/>
          <w:szCs w:val="28"/>
        </w:rPr>
        <w:t>（3）机关节能降耗。</w:t>
      </w:r>
    </w:p>
    <w:p>
      <w:pPr>
        <w:widowControl/>
        <w:adjustRightInd w:val="0"/>
        <w:snapToGrid w:val="0"/>
        <w:spacing w:line="560" w:lineRule="exact"/>
        <w:ind w:firstLine="640" w:firstLineChars="200"/>
        <w:jc w:val="left"/>
        <w:rPr>
          <w:rFonts w:ascii="宋体" w:hAnsi="宋体" w:cs="宋体"/>
          <w:color w:val="FF0000"/>
          <w:sz w:val="28"/>
          <w:szCs w:val="28"/>
        </w:rPr>
      </w:pPr>
      <w:r>
        <w:rPr>
          <w:rFonts w:hint="eastAsia" w:ascii="仿宋" w:hAnsi="仿宋" w:eastAsia="仿宋"/>
          <w:bCs/>
          <w:color w:val="000000"/>
          <w:kern w:val="0"/>
          <w:sz w:val="32"/>
          <w:szCs w:val="32"/>
        </w:rPr>
        <w:t>一直遵循</w:t>
      </w:r>
      <w:r>
        <w:rPr>
          <w:rFonts w:ascii="仿宋" w:hAnsi="仿宋" w:eastAsia="仿宋"/>
          <w:bCs/>
          <w:color w:val="000000"/>
          <w:kern w:val="0"/>
          <w:sz w:val="32"/>
          <w:szCs w:val="32"/>
        </w:rPr>
        <w:t>和发扬中华民族勤俭节约</w:t>
      </w:r>
      <w:r>
        <w:rPr>
          <w:rFonts w:hint="eastAsia" w:ascii="仿宋" w:hAnsi="仿宋" w:eastAsia="仿宋"/>
          <w:bCs/>
          <w:color w:val="000000"/>
          <w:kern w:val="0"/>
          <w:sz w:val="32"/>
          <w:szCs w:val="32"/>
        </w:rPr>
        <w:t>的</w:t>
      </w:r>
      <w:r>
        <w:rPr>
          <w:rFonts w:ascii="仿宋" w:hAnsi="仿宋" w:eastAsia="仿宋"/>
          <w:bCs/>
          <w:color w:val="000000"/>
          <w:kern w:val="0"/>
          <w:sz w:val="32"/>
          <w:szCs w:val="32"/>
        </w:rPr>
        <w:t>优良传统</w:t>
      </w:r>
      <w:r>
        <w:rPr>
          <w:rFonts w:hint="eastAsia" w:ascii="仿宋" w:hAnsi="仿宋" w:eastAsia="仿宋"/>
          <w:bCs/>
          <w:color w:val="000000"/>
          <w:kern w:val="0"/>
          <w:sz w:val="32"/>
          <w:szCs w:val="32"/>
        </w:rPr>
        <w:t>，要求全体干部职工强化节约用水、用电意识，自觉养成节约习惯，</w:t>
      </w:r>
      <w:r>
        <w:rPr>
          <w:rFonts w:ascii="仿宋" w:hAnsi="仿宋" w:eastAsia="仿宋"/>
          <w:bCs/>
          <w:color w:val="000000"/>
          <w:kern w:val="0"/>
          <w:sz w:val="32"/>
          <w:szCs w:val="32"/>
        </w:rPr>
        <w:t>倡导健康、文明、节俭、适度的消费理念</w:t>
      </w:r>
      <w:r>
        <w:rPr>
          <w:rFonts w:hint="eastAsia" w:ascii="仿宋" w:hAnsi="仿宋" w:eastAsia="仿宋"/>
          <w:bCs/>
          <w:color w:val="000000"/>
          <w:kern w:val="0"/>
          <w:sz w:val="32"/>
          <w:szCs w:val="32"/>
        </w:rPr>
        <w:t>。</w:t>
      </w:r>
    </w:p>
    <w:p>
      <w:pPr>
        <w:spacing w:line="560" w:lineRule="exact"/>
        <w:ind w:firstLine="551" w:firstLineChars="196"/>
        <w:rPr>
          <w:rFonts w:ascii="宋体" w:hAnsi="宋体" w:cs="宋体"/>
          <w:b/>
          <w:sz w:val="28"/>
          <w:szCs w:val="28"/>
        </w:rPr>
      </w:pPr>
      <w:r>
        <w:rPr>
          <w:rFonts w:hint="eastAsia" w:ascii="宋体" w:hAnsi="宋体" w:cs="宋体"/>
          <w:b/>
          <w:sz w:val="28"/>
          <w:szCs w:val="28"/>
        </w:rPr>
        <w:t>2.项目支出绩效</w:t>
      </w:r>
    </w:p>
    <w:p>
      <w:pPr>
        <w:spacing w:line="560" w:lineRule="exact"/>
        <w:ind w:firstLine="551" w:firstLineChars="196"/>
        <w:rPr>
          <w:rFonts w:ascii="宋体" w:hAnsi="宋体" w:cs="宋体"/>
          <w:b/>
          <w:sz w:val="28"/>
          <w:szCs w:val="28"/>
        </w:rPr>
      </w:pPr>
      <w:r>
        <w:rPr>
          <w:rFonts w:hint="eastAsia" w:ascii="宋体" w:hAnsi="宋体" w:cs="宋体"/>
          <w:b/>
          <w:sz w:val="28"/>
          <w:szCs w:val="28"/>
        </w:rPr>
        <w:t>（1）资金绩效分配、管理情况。</w:t>
      </w:r>
    </w:p>
    <w:p>
      <w:pPr>
        <w:widowControl/>
        <w:adjustRightInd w:val="0"/>
        <w:snapToGrid w:val="0"/>
        <w:spacing w:line="560" w:lineRule="exact"/>
        <w:ind w:firstLine="640" w:firstLineChars="200"/>
        <w:jc w:val="left"/>
        <w:rPr>
          <w:rFonts w:ascii="仿宋" w:hAnsi="仿宋" w:eastAsia="仿宋"/>
          <w:bCs/>
          <w:color w:val="000000"/>
          <w:kern w:val="0"/>
          <w:sz w:val="32"/>
          <w:szCs w:val="32"/>
        </w:rPr>
      </w:pPr>
      <w:r>
        <w:rPr>
          <w:rFonts w:hint="eastAsia" w:ascii="仿宋" w:hAnsi="仿宋" w:eastAsia="仿宋"/>
          <w:bCs/>
          <w:color w:val="000000"/>
          <w:kern w:val="0"/>
          <w:sz w:val="32"/>
          <w:szCs w:val="32"/>
        </w:rPr>
        <w:t>根据预算绩效管理要求，我局在年初预算编制阶段，组织对2个项目开展了预算事前绩效评估，预算执行过程中，选取2个项目开展绩效自评，从评价情况来看，2020年我局部门整体支出绩效评价良好，全年基本支出保证了部门的正常运行和日常工作的正常开展，项目支出保障了重点工作的开展，确保了全县就业局势稳定，为“战疫”攻坚和全县经济发展做出贡献。</w:t>
      </w:r>
    </w:p>
    <w:p>
      <w:pPr>
        <w:spacing w:line="560" w:lineRule="exact"/>
        <w:ind w:firstLine="551" w:firstLineChars="196"/>
        <w:rPr>
          <w:rFonts w:ascii="宋体" w:hAnsi="宋体" w:cs="宋体"/>
          <w:b/>
          <w:sz w:val="28"/>
          <w:szCs w:val="28"/>
        </w:rPr>
      </w:pPr>
      <w:r>
        <w:rPr>
          <w:rFonts w:hint="eastAsia" w:ascii="宋体" w:hAnsi="宋体" w:cs="宋体"/>
          <w:b/>
          <w:sz w:val="28"/>
          <w:szCs w:val="28"/>
        </w:rPr>
        <w:t>（2）绩效目标完成情况。</w:t>
      </w:r>
    </w:p>
    <w:p>
      <w:pPr>
        <w:spacing w:line="560" w:lineRule="exact"/>
        <w:ind w:firstLine="641"/>
        <w:rPr>
          <w:rFonts w:ascii="仿宋" w:hAnsi="仿宋" w:eastAsia="仿宋"/>
          <w:bCs/>
          <w:color w:val="000000"/>
          <w:kern w:val="0"/>
          <w:sz w:val="32"/>
          <w:szCs w:val="32"/>
        </w:rPr>
      </w:pPr>
      <w:r>
        <w:rPr>
          <w:rFonts w:hint="eastAsia" w:ascii="仿宋" w:hAnsi="仿宋" w:eastAsia="仿宋"/>
          <w:bCs/>
          <w:color w:val="000000"/>
          <w:kern w:val="0"/>
          <w:sz w:val="32"/>
          <w:szCs w:val="32"/>
        </w:rPr>
        <w:t>1.社会保险经办机构工作经费项目绩效目标完成情况综述。项目全年预算数37万元，执行数为37万元，完成预算的100%。通过项目实施，保障开展各种技能培训，解决县域企业及用人单位招工难，促进县域经济发展，稳定全县就业局势。</w:t>
      </w:r>
    </w:p>
    <w:p>
      <w:pPr>
        <w:spacing w:line="560" w:lineRule="exact"/>
        <w:ind w:firstLine="641"/>
        <w:sectPr>
          <w:headerReference r:id="rId3" w:type="default"/>
          <w:footerReference r:id="rId4" w:type="default"/>
          <w:footerReference r:id="rId5" w:type="even"/>
          <w:pgSz w:w="11906" w:h="16838"/>
          <w:pgMar w:top="907" w:right="1361" w:bottom="851" w:left="1361" w:header="851" w:footer="992" w:gutter="0"/>
          <w:pgNumType w:start="1"/>
          <w:cols w:space="720" w:num="1"/>
          <w:docGrid w:type="lines" w:linePitch="435" w:charSpace="0"/>
        </w:sectPr>
      </w:pPr>
      <w:r>
        <w:rPr>
          <w:rFonts w:hint="eastAsia" w:ascii="仿宋" w:hAnsi="仿宋" w:eastAsia="仿宋"/>
          <w:bCs/>
          <w:color w:val="000000"/>
          <w:kern w:val="0"/>
          <w:sz w:val="32"/>
          <w:szCs w:val="32"/>
        </w:rPr>
        <w:t>2.</w:t>
      </w:r>
      <w:r>
        <w:rPr>
          <w:rFonts w:hint="eastAsia" w:ascii="宋体" w:hAnsi="宋体" w:cs="宋体"/>
          <w:kern w:val="0"/>
          <w:sz w:val="18"/>
          <w:szCs w:val="18"/>
        </w:rPr>
        <w:t xml:space="preserve"> </w:t>
      </w:r>
      <w:r>
        <w:rPr>
          <w:rFonts w:hint="eastAsia" w:ascii="仿宋" w:hAnsi="仿宋" w:eastAsia="仿宋"/>
          <w:bCs/>
          <w:color w:val="000000"/>
          <w:kern w:val="0"/>
          <w:sz w:val="32"/>
          <w:szCs w:val="32"/>
        </w:rPr>
        <w:t>中央财政工业企业结构调整稳定就业专项奖补资金项目绩效目标完成情况综述。项目全年预算数1016万元，执行数为1016万元，完成预算的100%。通过项目实施，对受中美经贸摩擦影响和疫情影响的工业企业主动采取措施保障职工不失业、稳定岗位的工业企业给予资金扶持，促进企业复工复产、稳定就业岗位，促进疫情防控和社会经济发展取得成效，为“战疫”攻坚和全县经济发展做出贡献。</w:t>
      </w:r>
    </w:p>
    <w:tbl>
      <w:tblPr>
        <w:tblStyle w:val="5"/>
        <w:tblW w:w="5245" w:type="pct"/>
        <w:tblInd w:w="-459" w:type="dxa"/>
        <w:tblLayout w:type="autofit"/>
        <w:tblCellMar>
          <w:top w:w="0" w:type="dxa"/>
          <w:left w:w="108" w:type="dxa"/>
          <w:bottom w:w="0" w:type="dxa"/>
          <w:right w:w="108" w:type="dxa"/>
        </w:tblCellMar>
      </w:tblPr>
      <w:tblGrid>
        <w:gridCol w:w="1060"/>
        <w:gridCol w:w="814"/>
        <w:gridCol w:w="1301"/>
        <w:gridCol w:w="1222"/>
        <w:gridCol w:w="2003"/>
        <w:gridCol w:w="403"/>
        <w:gridCol w:w="1124"/>
        <w:gridCol w:w="294"/>
        <w:gridCol w:w="917"/>
        <w:gridCol w:w="3127"/>
        <w:gridCol w:w="1342"/>
      </w:tblGrid>
      <w:tr>
        <w:tblPrEx>
          <w:tblCellMar>
            <w:top w:w="0" w:type="dxa"/>
            <w:left w:w="108" w:type="dxa"/>
            <w:bottom w:w="0" w:type="dxa"/>
            <w:right w:w="108" w:type="dxa"/>
          </w:tblCellMar>
        </w:tblPrEx>
        <w:trPr>
          <w:trHeight w:val="630" w:hRule="atLeast"/>
        </w:trPr>
        <w:tc>
          <w:tcPr>
            <w:tcW w:w="5000" w:type="pct"/>
            <w:gridSpan w:val="11"/>
            <w:tcBorders>
              <w:top w:val="nil"/>
              <w:left w:val="nil"/>
              <w:bottom w:val="nil"/>
              <w:right w:val="nil"/>
            </w:tcBorders>
            <w:shd w:val="clear" w:color="000000" w:fill="FFFFFF"/>
            <w:vAlign w:val="center"/>
          </w:tcPr>
          <w:p>
            <w:pPr>
              <w:widowControl/>
              <w:jc w:val="center"/>
              <w:rPr>
                <w:rFonts w:ascii="宋体" w:hAnsi="宋体" w:cs="宋体"/>
                <w:b/>
                <w:bCs/>
                <w:kern w:val="0"/>
                <w:sz w:val="48"/>
                <w:szCs w:val="48"/>
              </w:rPr>
            </w:pPr>
            <w:r>
              <w:rPr>
                <w:rFonts w:hint="eastAsia" w:ascii="宋体" w:hAnsi="宋体" w:cs="宋体"/>
                <w:b/>
                <w:bCs/>
                <w:kern w:val="0"/>
                <w:sz w:val="48"/>
                <w:szCs w:val="48"/>
              </w:rPr>
              <w:t>项目支出绩效目标完成情况表</w:t>
            </w:r>
          </w:p>
        </w:tc>
      </w:tr>
      <w:tr>
        <w:tblPrEx>
          <w:tblCellMar>
            <w:top w:w="0" w:type="dxa"/>
            <w:left w:w="108" w:type="dxa"/>
            <w:bottom w:w="0" w:type="dxa"/>
            <w:right w:w="108" w:type="dxa"/>
          </w:tblCellMar>
        </w:tblPrEx>
        <w:trPr>
          <w:trHeight w:val="405" w:hRule="atLeast"/>
        </w:trPr>
        <w:tc>
          <w:tcPr>
            <w:tcW w:w="1616" w:type="pct"/>
            <w:gridSpan w:val="4"/>
            <w:tcBorders>
              <w:top w:val="nil"/>
              <w:left w:val="nil"/>
              <w:bottom w:val="single" w:color="auto" w:sz="4" w:space="0"/>
              <w:right w:val="nil"/>
            </w:tcBorders>
            <w:shd w:val="clear" w:color="auto" w:fill="auto"/>
            <w:vAlign w:val="center"/>
          </w:tcPr>
          <w:p>
            <w:pPr>
              <w:widowControl/>
              <w:jc w:val="left"/>
              <w:rPr>
                <w:rFonts w:ascii="宋体" w:hAnsi="宋体" w:cs="宋体"/>
                <w:kern w:val="0"/>
                <w:sz w:val="18"/>
                <w:szCs w:val="18"/>
              </w:rPr>
            </w:pPr>
            <w:r>
              <w:rPr>
                <w:rFonts w:hint="eastAsia" w:ascii="宋体" w:hAnsi="宋体" w:cs="宋体"/>
                <w:kern w:val="0"/>
                <w:sz w:val="18"/>
                <w:szCs w:val="18"/>
              </w:rPr>
              <w:t>单位：泸县就业服务管理局</w:t>
            </w:r>
          </w:p>
        </w:tc>
        <w:tc>
          <w:tcPr>
            <w:tcW w:w="736" w:type="pct"/>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561" w:type="pct"/>
            <w:gridSpan w:val="2"/>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445" w:type="pct"/>
            <w:gridSpan w:val="2"/>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1149" w:type="pct"/>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493" w:type="pct"/>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r>
      <w:tr>
        <w:trPr>
          <w:trHeight w:val="270" w:hRule="atLeast"/>
        </w:trPr>
        <w:tc>
          <w:tcPr>
            <w:tcW w:w="390"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18"/>
                <w:szCs w:val="18"/>
              </w:rPr>
            </w:pPr>
            <w:r>
              <w:rPr>
                <w:rFonts w:hint="eastAsia" w:ascii="宋体" w:hAnsi="宋体" w:cs="宋体"/>
                <w:kern w:val="0"/>
                <w:sz w:val="18"/>
                <w:szCs w:val="18"/>
              </w:rPr>
              <w:t>排序序号</w:t>
            </w:r>
          </w:p>
        </w:tc>
        <w:tc>
          <w:tcPr>
            <w:tcW w:w="299"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18"/>
                <w:szCs w:val="18"/>
              </w:rPr>
            </w:pPr>
            <w:r>
              <w:rPr>
                <w:rFonts w:hint="eastAsia" w:ascii="宋体" w:hAnsi="宋体" w:cs="宋体"/>
                <w:kern w:val="0"/>
                <w:sz w:val="18"/>
                <w:szCs w:val="18"/>
              </w:rPr>
              <w:t>项目名称</w:t>
            </w:r>
          </w:p>
        </w:tc>
        <w:tc>
          <w:tcPr>
            <w:tcW w:w="478"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年度资金总额</w:t>
            </w:r>
          </w:p>
        </w:tc>
        <w:tc>
          <w:tcPr>
            <w:tcW w:w="449"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年度目标</w:t>
            </w:r>
          </w:p>
        </w:tc>
        <w:tc>
          <w:tcPr>
            <w:tcW w:w="3384" w:type="pct"/>
            <w:gridSpan w:val="7"/>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绩效指标</w:t>
            </w:r>
          </w:p>
        </w:tc>
      </w:tr>
      <w:tr>
        <w:tblPrEx>
          <w:tblCellMar>
            <w:top w:w="0" w:type="dxa"/>
            <w:left w:w="108" w:type="dxa"/>
            <w:bottom w:w="0" w:type="dxa"/>
            <w:right w:w="108" w:type="dxa"/>
          </w:tblCellMar>
        </w:tblPrEx>
        <w:trPr>
          <w:trHeight w:val="435" w:hRule="atLeast"/>
        </w:trPr>
        <w:tc>
          <w:tcPr>
            <w:tcW w:w="390"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299"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478"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449"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884" w:type="pct"/>
            <w:gridSpan w:val="2"/>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数量指标</w:t>
            </w:r>
          </w:p>
        </w:tc>
        <w:tc>
          <w:tcPr>
            <w:tcW w:w="521" w:type="pct"/>
            <w:gridSpan w:val="2"/>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质量指标</w:t>
            </w:r>
          </w:p>
        </w:tc>
        <w:tc>
          <w:tcPr>
            <w:tcW w:w="337"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时效指标</w:t>
            </w:r>
          </w:p>
        </w:tc>
        <w:tc>
          <w:tcPr>
            <w:tcW w:w="1149" w:type="pct"/>
            <w:vMerge w:val="restart"/>
            <w:tcBorders>
              <w:top w:val="nil"/>
              <w:left w:val="single" w:color="auto" w:sz="4" w:space="0"/>
              <w:bottom w:val="single" w:color="000000"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完成情况</w:t>
            </w:r>
          </w:p>
        </w:tc>
        <w:tc>
          <w:tcPr>
            <w:tcW w:w="493"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服务对象满意度指标</w:t>
            </w:r>
          </w:p>
        </w:tc>
      </w:tr>
      <w:tr>
        <w:tblPrEx>
          <w:tblCellMar>
            <w:top w:w="0" w:type="dxa"/>
            <w:left w:w="108" w:type="dxa"/>
            <w:bottom w:w="0" w:type="dxa"/>
            <w:right w:w="108" w:type="dxa"/>
          </w:tblCellMar>
        </w:tblPrEx>
        <w:trPr>
          <w:trHeight w:val="435" w:hRule="atLeast"/>
        </w:trPr>
        <w:tc>
          <w:tcPr>
            <w:tcW w:w="390"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299"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478"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449"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884" w:type="pct"/>
            <w:gridSpan w:val="2"/>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521" w:type="pct"/>
            <w:gridSpan w:val="2"/>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337"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1149" w:type="pct"/>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18"/>
                <w:szCs w:val="18"/>
              </w:rPr>
            </w:pPr>
          </w:p>
        </w:tc>
        <w:tc>
          <w:tcPr>
            <w:tcW w:w="493"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r>
      <w:tr>
        <w:tblPrEx>
          <w:tblCellMar>
            <w:top w:w="0" w:type="dxa"/>
            <w:left w:w="108" w:type="dxa"/>
            <w:bottom w:w="0" w:type="dxa"/>
            <w:right w:w="108" w:type="dxa"/>
          </w:tblCellMar>
        </w:tblPrEx>
        <w:trPr>
          <w:trHeight w:val="6394" w:hRule="atLeast"/>
        </w:trPr>
        <w:tc>
          <w:tcPr>
            <w:tcW w:w="390" w:type="pct"/>
            <w:tcBorders>
              <w:top w:val="single" w:color="auto" w:sz="4" w:space="0"/>
              <w:left w:val="single" w:color="auto" w:sz="4" w:space="0"/>
              <w:bottom w:val="single" w:color="auto" w:sz="4" w:space="0"/>
              <w:right w:val="nil"/>
            </w:tcBorders>
            <w:shd w:val="clear" w:color="auto" w:fill="auto"/>
            <w:vAlign w:val="center"/>
          </w:tcPr>
          <w:p>
            <w:pPr>
              <w:widowControl/>
              <w:spacing w:line="360" w:lineRule="exact"/>
              <w:jc w:val="center"/>
              <w:rPr>
                <w:rFonts w:ascii="宋体" w:hAnsi="宋体" w:cs="宋体"/>
                <w:kern w:val="0"/>
                <w:sz w:val="18"/>
                <w:szCs w:val="18"/>
              </w:rPr>
            </w:pPr>
            <w:r>
              <w:rPr>
                <w:rFonts w:hint="eastAsia" w:ascii="宋体" w:hAnsi="宋体" w:cs="宋体"/>
                <w:kern w:val="0"/>
                <w:sz w:val="18"/>
                <w:szCs w:val="18"/>
              </w:rPr>
              <w:t>1</w:t>
            </w: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社会保险经办机构工作经费</w:t>
            </w:r>
          </w:p>
        </w:tc>
        <w:tc>
          <w:tcPr>
            <w:tcW w:w="478" w:type="pct"/>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37万元</w:t>
            </w:r>
          </w:p>
        </w:tc>
        <w:tc>
          <w:tcPr>
            <w:tcW w:w="449" w:type="pct"/>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促进就业创业，增加广大城乡劳动者收入，促进县域经济发展，稳定全县就业局势。</w:t>
            </w:r>
          </w:p>
        </w:tc>
        <w:tc>
          <w:tcPr>
            <w:tcW w:w="884" w:type="pct"/>
            <w:gridSpan w:val="2"/>
            <w:tcBorders>
              <w:top w:val="single" w:color="auto" w:sz="4" w:space="0"/>
              <w:left w:val="nil"/>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职业技能培训鉴定和创业培训调查核实3500人，下岗失业人员档案管理资料份数9000余份，失业保险经办服务30000余人次，为用人单位发布空岗信息10000条，对3000名求职者开展就业岗位推荐。</w:t>
            </w:r>
          </w:p>
        </w:tc>
        <w:tc>
          <w:tcPr>
            <w:tcW w:w="521" w:type="pct"/>
            <w:gridSpan w:val="2"/>
            <w:tcBorders>
              <w:top w:val="single" w:color="auto" w:sz="4" w:space="0"/>
              <w:left w:val="single" w:color="auto" w:sz="4" w:space="0"/>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坚决贯彻落实中央关于“稳就业、保就业”决策部署，动态消除零就业家庭，促进就业创业，增加广大城乡劳动者收入，增强群众的获得感、幸福感和满意度。</w:t>
            </w:r>
          </w:p>
        </w:tc>
        <w:tc>
          <w:tcPr>
            <w:tcW w:w="337" w:type="pct"/>
            <w:tcBorders>
              <w:top w:val="single" w:color="auto" w:sz="4" w:space="0"/>
              <w:left w:val="single" w:color="auto" w:sz="4" w:space="0"/>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按年初工作计划，适时开展，年底全面完成</w:t>
            </w:r>
          </w:p>
        </w:tc>
        <w:tc>
          <w:tcPr>
            <w:tcW w:w="1149" w:type="pct"/>
            <w:tcBorders>
              <w:top w:val="nil"/>
              <w:left w:val="single" w:color="auto" w:sz="4" w:space="0"/>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全年组织农民工、企业职工等各类劳动者开展各类技能培训8776人；开展春风行动暨返乡农民工专场招聘活动、“就业战疫·点亮生涯</w:t>
            </w:r>
            <w:r>
              <w:rPr>
                <w:rFonts w:ascii="宋体" w:hAnsi="宋体" w:cs="宋体"/>
                <w:kern w:val="0"/>
                <w:sz w:val="18"/>
                <w:szCs w:val="18"/>
              </w:rPr>
              <w:t>”</w:t>
            </w:r>
            <w:r>
              <w:rPr>
                <w:rFonts w:hint="eastAsia" w:ascii="宋体" w:hAnsi="宋体" w:cs="宋体"/>
                <w:kern w:val="0"/>
                <w:sz w:val="18"/>
                <w:szCs w:val="18"/>
              </w:rPr>
              <w:t>送指导送岗位进企业等各类招聘活动21场，累计提供招聘岗位36038个，通过“线上+线下”招聘会、劳务输出带动等各类形式，累计促进贫困劳动者转移就业16778人；管理下岗失业人员档案资料份数9000余份；失业保险经办服务35474人次；积极开发乡村道路维护、保洁、环保治理等公益性岗位安置就业2425人；建立扶贫就业基地3个，吸纳贫困劳动者就业24人通过项目的实施，稳定就业，促进社会和谐稳定。</w:t>
            </w:r>
          </w:p>
          <w:p>
            <w:pPr>
              <w:pStyle w:val="2"/>
            </w:pPr>
          </w:p>
        </w:tc>
        <w:tc>
          <w:tcPr>
            <w:tcW w:w="49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通过项目的实施，促进就业创业，增加广大城乡劳动者收入，增强群众的获得感、幸福感和满意度。</w:t>
            </w:r>
          </w:p>
        </w:tc>
      </w:tr>
    </w:tbl>
    <w:p>
      <w:pPr>
        <w:spacing w:line="578" w:lineRule="exact"/>
        <w:rPr>
          <w:rFonts w:ascii="宋体" w:hAnsi="宋体" w:cs="宋体"/>
          <w:b/>
          <w:color w:val="FF0000"/>
          <w:sz w:val="28"/>
          <w:szCs w:val="28"/>
        </w:rPr>
        <w:sectPr>
          <w:pgSz w:w="16838" w:h="11906" w:orient="landscape"/>
          <w:pgMar w:top="1474" w:right="1985" w:bottom="1588" w:left="2098" w:header="851" w:footer="992" w:gutter="0"/>
          <w:cols w:space="720" w:num="1"/>
          <w:docGrid w:type="linesAndChars" w:linePitch="312" w:charSpace="0"/>
        </w:sectPr>
      </w:pPr>
    </w:p>
    <w:tbl>
      <w:tblPr>
        <w:tblStyle w:val="5"/>
        <w:tblW w:w="5245" w:type="pct"/>
        <w:tblInd w:w="-459" w:type="dxa"/>
        <w:tblLayout w:type="autofit"/>
        <w:tblCellMar>
          <w:top w:w="0" w:type="dxa"/>
          <w:left w:w="108" w:type="dxa"/>
          <w:bottom w:w="0" w:type="dxa"/>
          <w:right w:w="108" w:type="dxa"/>
        </w:tblCellMar>
      </w:tblPr>
      <w:tblGrid>
        <w:gridCol w:w="710"/>
        <w:gridCol w:w="993"/>
        <w:gridCol w:w="991"/>
        <w:gridCol w:w="1276"/>
        <w:gridCol w:w="1845"/>
        <w:gridCol w:w="591"/>
        <w:gridCol w:w="1527"/>
        <w:gridCol w:w="294"/>
        <w:gridCol w:w="917"/>
        <w:gridCol w:w="73"/>
        <w:gridCol w:w="2974"/>
        <w:gridCol w:w="79"/>
        <w:gridCol w:w="1337"/>
      </w:tblGrid>
      <w:tr>
        <w:tblPrEx>
          <w:tblCellMar>
            <w:top w:w="0" w:type="dxa"/>
            <w:left w:w="108" w:type="dxa"/>
            <w:bottom w:w="0" w:type="dxa"/>
            <w:right w:w="108" w:type="dxa"/>
          </w:tblCellMar>
        </w:tblPrEx>
        <w:trPr>
          <w:trHeight w:val="630" w:hRule="atLeast"/>
        </w:trPr>
        <w:tc>
          <w:tcPr>
            <w:tcW w:w="5000" w:type="pct"/>
            <w:gridSpan w:val="13"/>
            <w:tcBorders>
              <w:top w:val="nil"/>
              <w:left w:val="nil"/>
              <w:bottom w:val="nil"/>
              <w:right w:val="nil"/>
            </w:tcBorders>
            <w:shd w:val="clear" w:color="000000" w:fill="FFFFFF"/>
            <w:vAlign w:val="center"/>
          </w:tcPr>
          <w:p>
            <w:pPr>
              <w:widowControl/>
              <w:jc w:val="center"/>
              <w:rPr>
                <w:rFonts w:ascii="宋体" w:hAnsi="宋体" w:cs="宋体"/>
                <w:b/>
                <w:bCs/>
                <w:kern w:val="0"/>
                <w:sz w:val="48"/>
                <w:szCs w:val="48"/>
              </w:rPr>
            </w:pPr>
            <w:r>
              <w:rPr>
                <w:rFonts w:hint="eastAsia" w:ascii="宋体" w:hAnsi="宋体" w:cs="宋体"/>
                <w:b/>
                <w:bCs/>
                <w:kern w:val="0"/>
                <w:sz w:val="48"/>
                <w:szCs w:val="48"/>
              </w:rPr>
              <w:t>项目支出绩效目标完成情况表</w:t>
            </w:r>
          </w:p>
        </w:tc>
      </w:tr>
      <w:tr>
        <w:tblPrEx>
          <w:tblCellMar>
            <w:top w:w="0" w:type="dxa"/>
            <w:left w:w="108" w:type="dxa"/>
            <w:bottom w:w="0" w:type="dxa"/>
            <w:right w:w="108" w:type="dxa"/>
          </w:tblCellMar>
        </w:tblPrEx>
        <w:trPr>
          <w:trHeight w:val="405" w:hRule="atLeast"/>
        </w:trPr>
        <w:tc>
          <w:tcPr>
            <w:tcW w:w="1459" w:type="pct"/>
            <w:gridSpan w:val="4"/>
            <w:tcBorders>
              <w:top w:val="nil"/>
              <w:left w:val="nil"/>
              <w:bottom w:val="single" w:color="auto" w:sz="4" w:space="0"/>
              <w:right w:val="nil"/>
            </w:tcBorders>
            <w:shd w:val="clear" w:color="auto" w:fill="auto"/>
            <w:vAlign w:val="center"/>
          </w:tcPr>
          <w:p>
            <w:pPr>
              <w:widowControl/>
              <w:jc w:val="left"/>
              <w:rPr>
                <w:rFonts w:ascii="宋体" w:hAnsi="宋体" w:cs="宋体"/>
                <w:kern w:val="0"/>
                <w:sz w:val="18"/>
                <w:szCs w:val="18"/>
              </w:rPr>
            </w:pPr>
            <w:r>
              <w:rPr>
                <w:rFonts w:hint="eastAsia" w:ascii="宋体" w:hAnsi="宋体" w:cs="宋体"/>
                <w:kern w:val="0"/>
                <w:sz w:val="18"/>
                <w:szCs w:val="18"/>
              </w:rPr>
              <w:t>单位：泸县就业服务管理局</w:t>
            </w:r>
          </w:p>
        </w:tc>
        <w:tc>
          <w:tcPr>
            <w:tcW w:w="895" w:type="pct"/>
            <w:gridSpan w:val="2"/>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561" w:type="pct"/>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445" w:type="pct"/>
            <w:gridSpan w:val="2"/>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1149" w:type="pct"/>
            <w:gridSpan w:val="3"/>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c>
          <w:tcPr>
            <w:tcW w:w="491" w:type="pct"/>
            <w:tcBorders>
              <w:top w:val="nil"/>
              <w:left w:val="nil"/>
              <w:bottom w:val="single" w:color="auto" w:sz="4" w:space="0"/>
              <w:right w:val="nil"/>
            </w:tcBorders>
            <w:shd w:val="clear" w:color="000000" w:fill="FFFFFF"/>
            <w:vAlign w:val="center"/>
          </w:tcPr>
          <w:p>
            <w:pPr>
              <w:widowControl/>
              <w:jc w:val="left"/>
              <w:rPr>
                <w:rFonts w:ascii="宋体" w:hAnsi="宋体" w:cs="宋体"/>
                <w:kern w:val="0"/>
                <w:szCs w:val="32"/>
              </w:rPr>
            </w:pPr>
            <w:r>
              <w:rPr>
                <w:rFonts w:hint="eastAsia" w:ascii="宋体" w:hAnsi="宋体" w:cs="宋体"/>
                <w:kern w:val="0"/>
                <w:szCs w:val="32"/>
              </w:rPr>
              <w:t>　</w:t>
            </w:r>
          </w:p>
        </w:tc>
      </w:tr>
      <w:tr>
        <w:tblPrEx>
          <w:tblCellMar>
            <w:top w:w="0" w:type="dxa"/>
            <w:left w:w="108" w:type="dxa"/>
            <w:bottom w:w="0" w:type="dxa"/>
            <w:right w:w="108" w:type="dxa"/>
          </w:tblCellMar>
        </w:tblPrEx>
        <w:trPr>
          <w:trHeight w:val="270" w:hRule="atLeast"/>
        </w:trPr>
        <w:tc>
          <w:tcPr>
            <w:tcW w:w="261"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18"/>
                <w:szCs w:val="18"/>
              </w:rPr>
            </w:pPr>
            <w:r>
              <w:rPr>
                <w:rFonts w:hint="eastAsia" w:ascii="宋体" w:hAnsi="宋体" w:cs="宋体"/>
                <w:kern w:val="0"/>
                <w:sz w:val="18"/>
                <w:szCs w:val="18"/>
              </w:rPr>
              <w:t>排序序号</w:t>
            </w:r>
          </w:p>
        </w:tc>
        <w:tc>
          <w:tcPr>
            <w:tcW w:w="365" w:type="pct"/>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18"/>
                <w:szCs w:val="18"/>
              </w:rPr>
            </w:pPr>
            <w:r>
              <w:rPr>
                <w:rFonts w:hint="eastAsia" w:ascii="宋体" w:hAnsi="宋体" w:cs="宋体"/>
                <w:kern w:val="0"/>
                <w:sz w:val="18"/>
                <w:szCs w:val="18"/>
              </w:rPr>
              <w:t>项目名称</w:t>
            </w:r>
          </w:p>
        </w:tc>
        <w:tc>
          <w:tcPr>
            <w:tcW w:w="364"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年度资金总额</w:t>
            </w:r>
          </w:p>
        </w:tc>
        <w:tc>
          <w:tcPr>
            <w:tcW w:w="469"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年度目标</w:t>
            </w:r>
          </w:p>
        </w:tc>
        <w:tc>
          <w:tcPr>
            <w:tcW w:w="3541" w:type="pct"/>
            <w:gridSpan w:val="9"/>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绩效指标</w:t>
            </w:r>
          </w:p>
        </w:tc>
      </w:tr>
      <w:tr>
        <w:tblPrEx>
          <w:tblCellMar>
            <w:top w:w="0" w:type="dxa"/>
            <w:left w:w="108" w:type="dxa"/>
            <w:bottom w:w="0" w:type="dxa"/>
            <w:right w:w="108" w:type="dxa"/>
          </w:tblCellMar>
        </w:tblPrEx>
        <w:trPr>
          <w:trHeight w:val="435" w:hRule="atLeast"/>
        </w:trPr>
        <w:tc>
          <w:tcPr>
            <w:tcW w:w="261"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365"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364"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469"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678" w:type="pct"/>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数量指标</w:t>
            </w:r>
          </w:p>
        </w:tc>
        <w:tc>
          <w:tcPr>
            <w:tcW w:w="886" w:type="pct"/>
            <w:gridSpan w:val="3"/>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质量指标</w:t>
            </w:r>
          </w:p>
        </w:tc>
        <w:tc>
          <w:tcPr>
            <w:tcW w:w="364" w:type="pct"/>
            <w:gridSpan w:val="2"/>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时效指标</w:t>
            </w:r>
          </w:p>
        </w:tc>
        <w:tc>
          <w:tcPr>
            <w:tcW w:w="1093" w:type="pct"/>
            <w:vMerge w:val="restart"/>
            <w:tcBorders>
              <w:top w:val="nil"/>
              <w:left w:val="single" w:color="auto" w:sz="4" w:space="0"/>
              <w:bottom w:val="single" w:color="000000"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完成情况</w:t>
            </w:r>
          </w:p>
        </w:tc>
        <w:tc>
          <w:tcPr>
            <w:tcW w:w="520" w:type="pct"/>
            <w:gridSpan w:val="2"/>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kern w:val="0"/>
                <w:sz w:val="18"/>
                <w:szCs w:val="18"/>
              </w:rPr>
            </w:pPr>
            <w:r>
              <w:rPr>
                <w:rFonts w:hint="eastAsia" w:ascii="宋体" w:hAnsi="宋体" w:cs="宋体"/>
                <w:kern w:val="0"/>
                <w:sz w:val="18"/>
                <w:szCs w:val="18"/>
              </w:rPr>
              <w:t>服务对象满意度指标</w:t>
            </w:r>
          </w:p>
        </w:tc>
      </w:tr>
      <w:tr>
        <w:tblPrEx>
          <w:tblCellMar>
            <w:top w:w="0" w:type="dxa"/>
            <w:left w:w="108" w:type="dxa"/>
            <w:bottom w:w="0" w:type="dxa"/>
            <w:right w:w="108" w:type="dxa"/>
          </w:tblCellMar>
        </w:tblPrEx>
        <w:trPr>
          <w:trHeight w:val="435" w:hRule="atLeast"/>
        </w:trPr>
        <w:tc>
          <w:tcPr>
            <w:tcW w:w="261"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365"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364"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469"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678" w:type="pct"/>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886" w:type="pct"/>
            <w:gridSpan w:val="3"/>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364" w:type="pct"/>
            <w:gridSpan w:val="2"/>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c>
          <w:tcPr>
            <w:tcW w:w="1093" w:type="pct"/>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 w:val="18"/>
                <w:szCs w:val="18"/>
              </w:rPr>
            </w:pPr>
          </w:p>
        </w:tc>
        <w:tc>
          <w:tcPr>
            <w:tcW w:w="520" w:type="pct"/>
            <w:gridSpan w:val="2"/>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18"/>
                <w:szCs w:val="18"/>
              </w:rPr>
            </w:pPr>
          </w:p>
        </w:tc>
      </w:tr>
      <w:tr>
        <w:tblPrEx>
          <w:tblCellMar>
            <w:top w:w="0" w:type="dxa"/>
            <w:left w:w="108" w:type="dxa"/>
            <w:bottom w:w="0" w:type="dxa"/>
            <w:right w:w="108" w:type="dxa"/>
          </w:tblCellMar>
        </w:tblPrEx>
        <w:trPr>
          <w:trHeight w:val="6394" w:hRule="atLeast"/>
        </w:trPr>
        <w:tc>
          <w:tcPr>
            <w:tcW w:w="261" w:type="pct"/>
            <w:tcBorders>
              <w:top w:val="single" w:color="auto" w:sz="4" w:space="0"/>
              <w:left w:val="single" w:color="auto" w:sz="4" w:space="0"/>
              <w:bottom w:val="single" w:color="auto" w:sz="4" w:space="0"/>
              <w:right w:val="nil"/>
            </w:tcBorders>
            <w:shd w:val="clear" w:color="auto" w:fill="auto"/>
            <w:vAlign w:val="center"/>
          </w:tcPr>
          <w:p>
            <w:pPr>
              <w:widowControl/>
              <w:spacing w:line="360" w:lineRule="exact"/>
              <w:jc w:val="center"/>
              <w:rPr>
                <w:rFonts w:ascii="宋体" w:hAnsi="宋体" w:cs="宋体"/>
                <w:kern w:val="0"/>
                <w:sz w:val="18"/>
                <w:szCs w:val="18"/>
              </w:rPr>
            </w:pPr>
            <w:r>
              <w:rPr>
                <w:rFonts w:hint="eastAsia" w:ascii="宋体" w:hAnsi="宋体" w:cs="宋体"/>
                <w:kern w:val="0"/>
                <w:sz w:val="18"/>
                <w:szCs w:val="18"/>
              </w:rPr>
              <w:t>2</w:t>
            </w:r>
          </w:p>
        </w:tc>
        <w:tc>
          <w:tcPr>
            <w:tcW w:w="36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中央财政工业企业 结构调整稳定就业专项奖补资金</w:t>
            </w:r>
          </w:p>
        </w:tc>
        <w:tc>
          <w:tcPr>
            <w:tcW w:w="364" w:type="pct"/>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1016万元</w:t>
            </w:r>
          </w:p>
        </w:tc>
        <w:tc>
          <w:tcPr>
            <w:tcW w:w="469" w:type="pct"/>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将受中美经贸摩擦影响和疫情影响的工业企业主动采取措施保障职工不失业，稳定岗位的工业企业给予资金扶持，促进企业稳岗留工确保全县的就业稳定</w:t>
            </w:r>
          </w:p>
        </w:tc>
        <w:tc>
          <w:tcPr>
            <w:tcW w:w="678" w:type="pct"/>
            <w:tcBorders>
              <w:top w:val="single" w:color="auto" w:sz="4" w:space="0"/>
              <w:left w:val="nil"/>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受益企业</w:t>
            </w:r>
            <w:r>
              <w:rPr>
                <w:rFonts w:ascii="宋体" w:hAnsi="宋体" w:cs="宋体"/>
                <w:kern w:val="0"/>
                <w:sz w:val="18"/>
                <w:szCs w:val="18"/>
              </w:rPr>
              <w:t>50</w:t>
            </w:r>
            <w:r>
              <w:rPr>
                <w:rFonts w:hint="eastAsia" w:ascii="宋体" w:hAnsi="宋体" w:cs="宋体"/>
                <w:kern w:val="0"/>
                <w:sz w:val="18"/>
                <w:szCs w:val="18"/>
              </w:rPr>
              <w:t>个，稳定岗位职工人数</w:t>
            </w:r>
            <w:r>
              <w:rPr>
                <w:rFonts w:ascii="宋体" w:hAnsi="宋体" w:cs="宋体"/>
                <w:kern w:val="0"/>
                <w:sz w:val="18"/>
                <w:szCs w:val="18"/>
              </w:rPr>
              <w:t>7690</w:t>
            </w:r>
            <w:r>
              <w:rPr>
                <w:rFonts w:hint="eastAsia" w:ascii="宋体" w:hAnsi="宋体" w:cs="宋体"/>
                <w:kern w:val="0"/>
                <w:sz w:val="18"/>
                <w:szCs w:val="18"/>
              </w:rPr>
              <w:t>人</w:t>
            </w:r>
          </w:p>
        </w:tc>
        <w:tc>
          <w:tcPr>
            <w:tcW w:w="886" w:type="pct"/>
            <w:gridSpan w:val="3"/>
            <w:tcBorders>
              <w:top w:val="single" w:color="auto" w:sz="4" w:space="0"/>
              <w:left w:val="single" w:color="auto" w:sz="4" w:space="0"/>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坚决贯彻落实《关于中央财政工业企业结构调整专项奖补资金用于稳定就业的通知》（川财社【</w:t>
            </w:r>
            <w:r>
              <w:rPr>
                <w:rFonts w:ascii="宋体" w:hAnsi="宋体" w:cs="宋体"/>
                <w:kern w:val="0"/>
                <w:sz w:val="18"/>
                <w:szCs w:val="18"/>
              </w:rPr>
              <w:t>2020</w:t>
            </w:r>
            <w:r>
              <w:rPr>
                <w:rFonts w:hint="eastAsia" w:ascii="宋体" w:hAnsi="宋体" w:cs="宋体"/>
                <w:kern w:val="0"/>
                <w:sz w:val="18"/>
                <w:szCs w:val="18"/>
              </w:rPr>
              <w:t>】</w:t>
            </w:r>
            <w:r>
              <w:rPr>
                <w:rFonts w:ascii="宋体" w:hAnsi="宋体" w:cs="宋体"/>
                <w:kern w:val="0"/>
                <w:sz w:val="18"/>
                <w:szCs w:val="18"/>
              </w:rPr>
              <w:t>11</w:t>
            </w:r>
            <w:r>
              <w:rPr>
                <w:rFonts w:hint="eastAsia" w:ascii="宋体" w:hAnsi="宋体" w:cs="宋体"/>
                <w:kern w:val="0"/>
                <w:sz w:val="18"/>
                <w:szCs w:val="18"/>
              </w:rPr>
              <w:t>号）文件要求，将受中美经贸摩擦影响和疫情影响的工业企业主动采取措施保障职工不失业、稳定岗位的工业企业给予资金扶持，促进企业稳岗留工确保全县的就业稳定</w:t>
            </w:r>
          </w:p>
        </w:tc>
        <w:tc>
          <w:tcPr>
            <w:tcW w:w="364" w:type="pct"/>
            <w:gridSpan w:val="2"/>
            <w:tcBorders>
              <w:top w:val="single" w:color="auto" w:sz="4" w:space="0"/>
              <w:left w:val="single" w:color="auto" w:sz="4" w:space="0"/>
              <w:bottom w:val="single" w:color="auto" w:sz="4" w:space="0"/>
              <w:right w:val="nil"/>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按年初工作计划，适时开展，年底全面完成</w:t>
            </w:r>
          </w:p>
        </w:tc>
        <w:tc>
          <w:tcPr>
            <w:tcW w:w="1093" w:type="pct"/>
            <w:tcBorders>
              <w:top w:val="nil"/>
              <w:left w:val="single" w:color="auto" w:sz="4" w:space="0"/>
              <w:bottom w:val="single" w:color="auto" w:sz="4" w:space="0"/>
              <w:right w:val="nil"/>
            </w:tcBorders>
            <w:shd w:val="clear" w:color="auto" w:fill="auto"/>
            <w:vAlign w:val="center"/>
          </w:tcPr>
          <w:p>
            <w:pPr>
              <w:spacing w:line="360" w:lineRule="exact"/>
              <w:ind w:firstLine="360" w:firstLineChars="200"/>
              <w:rPr>
                <w:rFonts w:ascii="宋体" w:hAnsi="宋体" w:cs="宋体"/>
                <w:kern w:val="0"/>
                <w:sz w:val="18"/>
                <w:szCs w:val="18"/>
              </w:rPr>
            </w:pPr>
            <w:r>
              <w:rPr>
                <w:rFonts w:hint="eastAsia" w:ascii="宋体" w:hAnsi="宋体" w:cs="宋体"/>
                <w:kern w:val="0"/>
                <w:sz w:val="18"/>
                <w:szCs w:val="18"/>
              </w:rPr>
              <w:t>工业企业结构调整稳定就业专项奖补资金支出</w:t>
            </w:r>
            <w:r>
              <w:rPr>
                <w:rFonts w:ascii="宋体" w:hAnsi="宋体" w:cs="宋体"/>
                <w:kern w:val="0"/>
                <w:sz w:val="18"/>
                <w:szCs w:val="18"/>
              </w:rPr>
              <w:t>1016</w:t>
            </w:r>
            <w:r>
              <w:rPr>
                <w:rFonts w:hint="eastAsia" w:ascii="宋体" w:hAnsi="宋体" w:cs="宋体"/>
                <w:kern w:val="0"/>
                <w:sz w:val="18"/>
                <w:szCs w:val="18"/>
              </w:rPr>
              <w:t>万元，受益企业</w:t>
            </w:r>
            <w:r>
              <w:rPr>
                <w:rFonts w:ascii="宋体" w:hAnsi="宋体" w:cs="宋体"/>
                <w:kern w:val="0"/>
                <w:sz w:val="18"/>
                <w:szCs w:val="18"/>
              </w:rPr>
              <w:t>50</w:t>
            </w:r>
            <w:r>
              <w:rPr>
                <w:rFonts w:hint="eastAsia" w:ascii="宋体" w:hAnsi="宋体" w:cs="宋体"/>
                <w:kern w:val="0"/>
                <w:sz w:val="18"/>
                <w:szCs w:val="18"/>
              </w:rPr>
              <w:t>个，稳定岗位职工人数</w:t>
            </w:r>
            <w:r>
              <w:rPr>
                <w:rFonts w:ascii="宋体" w:hAnsi="宋体" w:cs="宋体"/>
                <w:kern w:val="0"/>
                <w:sz w:val="18"/>
                <w:szCs w:val="18"/>
              </w:rPr>
              <w:t>7690</w:t>
            </w:r>
            <w:r>
              <w:rPr>
                <w:rFonts w:hint="eastAsia" w:ascii="宋体" w:hAnsi="宋体" w:cs="宋体"/>
                <w:kern w:val="0"/>
                <w:sz w:val="18"/>
                <w:szCs w:val="18"/>
              </w:rPr>
              <w:t>人，其中：用于受中美经贸摩擦影响的出口规上工业企业支出</w:t>
            </w:r>
            <w:r>
              <w:rPr>
                <w:rFonts w:ascii="宋体" w:hAnsi="宋体" w:cs="宋体"/>
                <w:kern w:val="0"/>
                <w:sz w:val="18"/>
                <w:szCs w:val="18"/>
              </w:rPr>
              <w:t>447.1</w:t>
            </w:r>
            <w:r>
              <w:rPr>
                <w:rFonts w:hint="eastAsia" w:ascii="宋体" w:hAnsi="宋体" w:cs="宋体"/>
                <w:kern w:val="0"/>
                <w:sz w:val="18"/>
                <w:szCs w:val="18"/>
              </w:rPr>
              <w:t>万元，受益企业</w:t>
            </w:r>
            <w:r>
              <w:rPr>
                <w:rFonts w:ascii="宋体" w:hAnsi="宋体" w:cs="宋体"/>
                <w:kern w:val="0"/>
                <w:sz w:val="18"/>
                <w:szCs w:val="18"/>
              </w:rPr>
              <w:t>8</w:t>
            </w:r>
            <w:r>
              <w:rPr>
                <w:rFonts w:hint="eastAsia" w:ascii="宋体" w:hAnsi="宋体" w:cs="宋体"/>
                <w:kern w:val="0"/>
                <w:sz w:val="18"/>
                <w:szCs w:val="18"/>
              </w:rPr>
              <w:t>个、</w:t>
            </w:r>
            <w:r>
              <w:rPr>
                <w:rFonts w:ascii="宋体" w:hAnsi="宋体" w:cs="宋体"/>
                <w:kern w:val="0"/>
                <w:sz w:val="18"/>
                <w:szCs w:val="18"/>
              </w:rPr>
              <w:t>2001</w:t>
            </w:r>
            <w:r>
              <w:rPr>
                <w:rFonts w:hint="eastAsia" w:ascii="宋体" w:hAnsi="宋体" w:cs="宋体"/>
                <w:kern w:val="0"/>
                <w:sz w:val="18"/>
                <w:szCs w:val="18"/>
              </w:rPr>
              <w:t>人；用于受疫情影响主动采取措施稳岗的园区规上工业企业支出</w:t>
            </w:r>
            <w:r>
              <w:rPr>
                <w:rFonts w:ascii="宋体" w:hAnsi="宋体" w:cs="宋体"/>
                <w:kern w:val="0"/>
                <w:sz w:val="18"/>
                <w:szCs w:val="18"/>
              </w:rPr>
              <w:t>568.9</w:t>
            </w:r>
            <w:r>
              <w:rPr>
                <w:rFonts w:hint="eastAsia" w:ascii="宋体" w:hAnsi="宋体" w:cs="宋体"/>
                <w:kern w:val="0"/>
                <w:sz w:val="18"/>
                <w:szCs w:val="18"/>
              </w:rPr>
              <w:t>万元，受益企业</w:t>
            </w:r>
            <w:r>
              <w:rPr>
                <w:rFonts w:ascii="宋体" w:hAnsi="宋体" w:cs="宋体"/>
                <w:kern w:val="0"/>
                <w:sz w:val="18"/>
                <w:szCs w:val="18"/>
              </w:rPr>
              <w:t>42</w:t>
            </w:r>
            <w:r>
              <w:rPr>
                <w:rFonts w:hint="eastAsia" w:ascii="宋体" w:hAnsi="宋体" w:cs="宋体"/>
                <w:kern w:val="0"/>
                <w:sz w:val="18"/>
                <w:szCs w:val="18"/>
              </w:rPr>
              <w:t>个、</w:t>
            </w:r>
            <w:r>
              <w:rPr>
                <w:rFonts w:ascii="宋体" w:hAnsi="宋体" w:cs="宋体"/>
                <w:kern w:val="0"/>
                <w:sz w:val="18"/>
                <w:szCs w:val="18"/>
              </w:rPr>
              <w:t>5689</w:t>
            </w:r>
            <w:r>
              <w:rPr>
                <w:rFonts w:hint="eastAsia" w:ascii="宋体" w:hAnsi="宋体" w:cs="宋体"/>
                <w:kern w:val="0"/>
                <w:sz w:val="18"/>
                <w:szCs w:val="18"/>
              </w:rPr>
              <w:t>人。</w:t>
            </w:r>
          </w:p>
          <w:p>
            <w:pPr>
              <w:widowControl/>
              <w:spacing w:line="360" w:lineRule="exact"/>
              <w:jc w:val="left"/>
            </w:pPr>
          </w:p>
        </w:tc>
        <w:tc>
          <w:tcPr>
            <w:tcW w:w="52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 w:val="18"/>
                <w:szCs w:val="18"/>
              </w:rPr>
            </w:pPr>
            <w:r>
              <w:rPr>
                <w:rFonts w:hint="eastAsia" w:ascii="宋体" w:hAnsi="宋体" w:cs="宋体"/>
                <w:kern w:val="0"/>
                <w:sz w:val="18"/>
                <w:szCs w:val="18"/>
              </w:rPr>
              <w:t>通过项目的实施，促进企业复工复产、稳定就业岗位，促进疫情防控和社会经济发展取得成效，为“战疫”攻坚和全县经济发展做出贡献</w:t>
            </w:r>
          </w:p>
        </w:tc>
      </w:tr>
    </w:tbl>
    <w:p>
      <w:pPr>
        <w:spacing w:line="578" w:lineRule="exact"/>
        <w:rPr>
          <w:rFonts w:ascii="宋体" w:hAnsi="宋体" w:cs="宋体"/>
          <w:b/>
          <w:color w:val="FF0000"/>
          <w:sz w:val="28"/>
          <w:szCs w:val="28"/>
        </w:rPr>
        <w:sectPr>
          <w:pgSz w:w="16838" w:h="11906" w:orient="landscape"/>
          <w:pgMar w:top="1474" w:right="1985" w:bottom="1588" w:left="2098" w:header="851" w:footer="992" w:gutter="0"/>
          <w:cols w:space="720" w:num="1"/>
          <w:docGrid w:type="linesAndChars" w:linePitch="312" w:charSpace="0"/>
        </w:sectPr>
      </w:pPr>
    </w:p>
    <w:p>
      <w:pPr>
        <w:spacing w:line="578" w:lineRule="exact"/>
        <w:ind w:firstLine="551" w:firstLineChars="196"/>
        <w:rPr>
          <w:rFonts w:ascii="宋体" w:hAnsi="宋体" w:cs="宋体"/>
          <w:b/>
          <w:sz w:val="28"/>
          <w:szCs w:val="28"/>
        </w:rPr>
      </w:pPr>
      <w:r>
        <w:rPr>
          <w:rFonts w:hint="eastAsia" w:ascii="宋体" w:hAnsi="宋体" w:cs="宋体"/>
          <w:b/>
          <w:sz w:val="28"/>
          <w:szCs w:val="28"/>
        </w:rPr>
        <w:t>（四）财务管理情况</w:t>
      </w:r>
    </w:p>
    <w:p>
      <w:pPr>
        <w:spacing w:line="578" w:lineRule="exact"/>
        <w:ind w:firstLine="641"/>
        <w:rPr>
          <w:rFonts w:ascii="仿宋" w:hAnsi="仿宋" w:eastAsia="仿宋"/>
          <w:bCs/>
          <w:color w:val="000000"/>
          <w:kern w:val="0"/>
          <w:sz w:val="32"/>
          <w:szCs w:val="32"/>
        </w:rPr>
      </w:pPr>
      <w:r>
        <w:rPr>
          <w:rFonts w:hint="eastAsia" w:ascii="仿宋" w:hAnsi="仿宋" w:eastAsia="仿宋"/>
          <w:bCs/>
          <w:color w:val="000000"/>
          <w:kern w:val="0"/>
          <w:sz w:val="32"/>
          <w:szCs w:val="32"/>
        </w:rPr>
        <w:t>1、我局制定了《财务管理制度》、《公车管理制度》、《差旅费管理制度》等，并严格执行《行政单位会计制度》、《财务管理办法》等，规范账务处理，会计凭证和财务报告真实完整，不做假账。加强三公经费管理，严格控制三公经费支出，明确一般性支出的开支范围和标准，严格报账审核。公务接待、会议费、差旅费严格公务接待、会议费、差旅费管理办法执行。</w:t>
      </w:r>
      <w:r>
        <w:rPr>
          <w:rFonts w:hint="eastAsia" w:ascii="仿宋" w:hAnsi="仿宋" w:eastAsia="仿宋"/>
          <w:bCs/>
          <w:color w:val="000000"/>
          <w:kern w:val="0"/>
          <w:sz w:val="32"/>
          <w:szCs w:val="32"/>
        </w:rPr>
        <w:br w:type="textWrapping"/>
      </w:r>
      <w:r>
        <w:rPr>
          <w:rFonts w:hint="eastAsia" w:ascii="仿宋" w:hAnsi="仿宋" w:eastAsia="仿宋"/>
          <w:bCs/>
          <w:color w:val="000000"/>
          <w:kern w:val="0"/>
          <w:sz w:val="32"/>
          <w:szCs w:val="32"/>
        </w:rPr>
        <w:t>  2、遵守财经法规，严格财经纪律，依法接受财政、审计、巡察和社会各界的监督，按时上报各项报表及自查报告。</w:t>
      </w:r>
    </w:p>
    <w:p>
      <w:pPr>
        <w:spacing w:line="578" w:lineRule="exact"/>
        <w:ind w:firstLine="551" w:firstLineChars="196"/>
        <w:rPr>
          <w:rFonts w:ascii="宋体" w:hAnsi="宋体" w:cs="宋体"/>
          <w:b/>
          <w:sz w:val="28"/>
          <w:szCs w:val="28"/>
        </w:rPr>
      </w:pPr>
      <w:r>
        <w:rPr>
          <w:rFonts w:hint="eastAsia" w:ascii="宋体" w:hAnsi="宋体" w:cs="宋体"/>
          <w:b/>
          <w:sz w:val="28"/>
          <w:szCs w:val="28"/>
        </w:rPr>
        <w:t>（五）绩效管理工作开展情况</w:t>
      </w:r>
    </w:p>
    <w:p>
      <w:pPr>
        <w:pStyle w:val="2"/>
        <w:spacing w:line="578" w:lineRule="exact"/>
        <w:ind w:firstLine="640" w:firstLineChars="200"/>
        <w:rPr>
          <w:rFonts w:ascii="仿宋" w:hAnsi="仿宋" w:eastAsia="仿宋" w:cs="Times New Roman"/>
          <w:bCs/>
          <w:color w:val="000000"/>
          <w:kern w:val="0"/>
          <w:sz w:val="32"/>
          <w:szCs w:val="32"/>
        </w:rPr>
      </w:pPr>
      <w:r>
        <w:rPr>
          <w:rFonts w:hint="eastAsia" w:ascii="仿宋" w:hAnsi="仿宋" w:eastAsia="仿宋" w:cs="Times New Roman"/>
          <w:bCs/>
          <w:color w:val="000000"/>
          <w:kern w:val="0"/>
          <w:sz w:val="32"/>
          <w:szCs w:val="32"/>
        </w:rPr>
        <w:t>2020年我单位预算绩效自评分</w:t>
      </w:r>
      <w:r>
        <w:rPr>
          <w:rFonts w:hint="eastAsia" w:ascii="仿宋" w:hAnsi="仿宋" w:eastAsia="仿宋" w:cs="Times New Roman"/>
          <w:bCs/>
          <w:kern w:val="0"/>
          <w:sz w:val="32"/>
          <w:szCs w:val="32"/>
        </w:rPr>
        <w:t>93.7分</w:t>
      </w:r>
      <w:r>
        <w:rPr>
          <w:rFonts w:hint="eastAsia" w:ascii="仿宋" w:hAnsi="仿宋" w:eastAsia="仿宋" w:cs="Times New Roman"/>
          <w:bCs/>
          <w:color w:val="000000"/>
          <w:kern w:val="0"/>
          <w:sz w:val="32"/>
          <w:szCs w:val="32"/>
        </w:rPr>
        <w:t>，2021年将进一步加大预算绩效管理的力度、扎实工作，将预算绩效自评结果作为改进预算管理和安排以后年度预算的重要依据。在今后编制预算时，我们将在县财政局的具体指导下，不断完善绩效评价指标，及时调整和优化我单位后续项目和以后年度预算支出的方向和结构，合理配置资源，加强财务管理，完善项目管理办法，切实提高项目管理水平、财政资金使用效益和部门工作效率。针对财政局的反馈意见，我们将认真落实整改。加强资金使用的监管和跟踪，完善内部控制制度，压实责任，重视财政资金使用的绩效评价，确保各项资金管理使用合规合纪。</w:t>
      </w:r>
    </w:p>
    <w:p>
      <w:pPr>
        <w:spacing w:line="578" w:lineRule="exact"/>
        <w:ind w:firstLine="551" w:firstLineChars="196"/>
        <w:rPr>
          <w:rFonts w:ascii="宋体" w:hAnsi="宋体" w:cs="宋体"/>
          <w:b/>
          <w:bCs/>
          <w:sz w:val="28"/>
          <w:szCs w:val="28"/>
        </w:rPr>
      </w:pPr>
      <w:r>
        <w:rPr>
          <w:rFonts w:hint="eastAsia" w:ascii="宋体" w:hAnsi="宋体" w:cs="宋体"/>
          <w:b/>
          <w:bCs/>
          <w:sz w:val="28"/>
          <w:szCs w:val="28"/>
        </w:rPr>
        <w:t>四、评价结论及建议</w:t>
      </w:r>
    </w:p>
    <w:p>
      <w:pPr>
        <w:spacing w:line="578" w:lineRule="exact"/>
        <w:ind w:firstLine="560" w:firstLineChars="200"/>
        <w:rPr>
          <w:rFonts w:ascii="宋体" w:hAnsi="宋体" w:cs="宋体"/>
          <w:sz w:val="28"/>
          <w:szCs w:val="28"/>
        </w:rPr>
      </w:pPr>
      <w:r>
        <w:rPr>
          <w:rFonts w:hint="eastAsia" w:ascii="宋体" w:hAnsi="宋体" w:cs="宋体"/>
          <w:sz w:val="28"/>
          <w:szCs w:val="28"/>
        </w:rPr>
        <w:t>（一）评价结论</w:t>
      </w:r>
    </w:p>
    <w:p>
      <w:pPr>
        <w:widowControl/>
        <w:adjustRightInd w:val="0"/>
        <w:snapToGrid w:val="0"/>
        <w:spacing w:line="578" w:lineRule="exact"/>
        <w:ind w:firstLine="640" w:firstLineChars="200"/>
        <w:jc w:val="left"/>
        <w:rPr>
          <w:rFonts w:ascii="仿宋" w:hAnsi="仿宋" w:eastAsia="仿宋"/>
          <w:bCs/>
          <w:color w:val="000000"/>
          <w:kern w:val="0"/>
          <w:sz w:val="32"/>
          <w:szCs w:val="32"/>
        </w:rPr>
      </w:pPr>
      <w:r>
        <w:rPr>
          <w:rFonts w:hint="eastAsia" w:ascii="仿宋" w:hAnsi="仿宋" w:eastAsia="仿宋"/>
          <w:bCs/>
          <w:color w:val="000000"/>
          <w:kern w:val="0"/>
          <w:sz w:val="32"/>
          <w:szCs w:val="32"/>
        </w:rPr>
        <w:t>我单位在资金预算编制、预算执行、综合管理、整体绩效四个方面，均按照国家政策法规规定，结合本单位实际情况及相关规定严格执行，完成了部门职能职责，实现了较高的工作效率和支出绩效，总体评价</w:t>
      </w:r>
      <w:r>
        <w:rPr>
          <w:rFonts w:hint="eastAsia" w:ascii="仿宋" w:hAnsi="仿宋" w:eastAsia="仿宋"/>
          <w:bCs/>
          <w:color w:val="000000" w:themeColor="text1"/>
          <w:kern w:val="0"/>
          <w:sz w:val="32"/>
          <w:szCs w:val="32"/>
        </w:rPr>
        <w:t>为优</w:t>
      </w:r>
      <w:r>
        <w:rPr>
          <w:rFonts w:hint="eastAsia" w:ascii="仿宋" w:hAnsi="仿宋" w:eastAsia="仿宋"/>
          <w:bCs/>
          <w:color w:val="000000"/>
          <w:kern w:val="0"/>
          <w:sz w:val="32"/>
          <w:szCs w:val="32"/>
        </w:rPr>
        <w:t>。</w:t>
      </w:r>
    </w:p>
    <w:p>
      <w:pPr>
        <w:spacing w:line="578" w:lineRule="exact"/>
        <w:ind w:firstLine="560" w:firstLineChars="200"/>
        <w:rPr>
          <w:rFonts w:ascii="宋体" w:hAnsi="宋体" w:cs="宋体"/>
          <w:sz w:val="28"/>
          <w:szCs w:val="28"/>
        </w:rPr>
      </w:pPr>
      <w:r>
        <w:rPr>
          <w:rFonts w:hint="eastAsia" w:ascii="宋体" w:hAnsi="宋体" w:cs="宋体"/>
          <w:sz w:val="28"/>
          <w:szCs w:val="28"/>
        </w:rPr>
        <w:t>（二）存在问题</w:t>
      </w:r>
    </w:p>
    <w:p>
      <w:pPr>
        <w:adjustRightInd w:val="0"/>
        <w:snapToGrid w:val="0"/>
        <w:spacing w:line="578" w:lineRule="exact"/>
        <w:ind w:firstLine="480" w:firstLineChars="150"/>
        <w:rPr>
          <w:rFonts w:ascii="仿宋" w:hAnsi="仿宋" w:eastAsia="仿宋"/>
          <w:bCs/>
          <w:color w:val="000000"/>
          <w:kern w:val="0"/>
          <w:sz w:val="32"/>
          <w:szCs w:val="32"/>
        </w:rPr>
      </w:pPr>
      <w:r>
        <w:rPr>
          <w:rFonts w:hint="eastAsia" w:ascii="仿宋" w:hAnsi="仿宋" w:eastAsia="仿宋"/>
          <w:bCs/>
          <w:color w:val="000000"/>
          <w:kern w:val="0"/>
          <w:sz w:val="32"/>
          <w:szCs w:val="32"/>
        </w:rPr>
        <w:t>1.局</w:t>
      </w:r>
      <w:r>
        <w:rPr>
          <w:rFonts w:ascii="仿宋" w:hAnsi="仿宋" w:eastAsia="仿宋"/>
          <w:bCs/>
          <w:color w:val="000000"/>
          <w:kern w:val="0"/>
          <w:sz w:val="32"/>
          <w:szCs w:val="32"/>
        </w:rPr>
        <w:t>机关的支出管理项目还有待进一步细化和量化，强化机关经费预算管理的刚性约束，项目支出按预算和工作进度执行，进一步规范各项支出。</w:t>
      </w:r>
    </w:p>
    <w:p>
      <w:pPr>
        <w:adjustRightInd w:val="0"/>
        <w:snapToGrid w:val="0"/>
        <w:spacing w:line="578" w:lineRule="exact"/>
        <w:ind w:firstLine="480" w:firstLineChars="150"/>
        <w:rPr>
          <w:rFonts w:ascii="仿宋" w:hAnsi="仿宋" w:eastAsia="仿宋"/>
          <w:bCs/>
          <w:color w:val="000000"/>
          <w:kern w:val="0"/>
          <w:sz w:val="32"/>
          <w:szCs w:val="32"/>
        </w:rPr>
      </w:pPr>
      <w:r>
        <w:rPr>
          <w:rFonts w:hint="eastAsia" w:ascii="仿宋" w:hAnsi="仿宋" w:eastAsia="仿宋"/>
          <w:bCs/>
          <w:color w:val="000000"/>
          <w:kern w:val="0"/>
          <w:sz w:val="32"/>
          <w:szCs w:val="32"/>
        </w:rPr>
        <w:t>2.</w:t>
      </w:r>
      <w:r>
        <w:rPr>
          <w:rFonts w:ascii="仿宋" w:hAnsi="仿宋" w:eastAsia="仿宋"/>
          <w:bCs/>
          <w:color w:val="000000"/>
          <w:kern w:val="0"/>
          <w:sz w:val="32"/>
          <w:szCs w:val="32"/>
        </w:rPr>
        <w:t>绩效目标和指标往往根据项目实际完成情况制定，对项目执行过程有效约束不够，存在一定的偏差。</w:t>
      </w:r>
    </w:p>
    <w:p>
      <w:pPr>
        <w:adjustRightInd w:val="0"/>
        <w:snapToGrid w:val="0"/>
        <w:spacing w:line="578" w:lineRule="exact"/>
        <w:ind w:firstLine="480" w:firstLineChars="150"/>
        <w:rPr>
          <w:rFonts w:ascii="仿宋" w:hAnsi="仿宋" w:eastAsia="仿宋"/>
          <w:bCs/>
          <w:color w:val="000000"/>
          <w:kern w:val="0"/>
          <w:sz w:val="32"/>
          <w:szCs w:val="32"/>
        </w:rPr>
      </w:pPr>
      <w:r>
        <w:rPr>
          <w:rFonts w:hint="eastAsia" w:ascii="仿宋" w:hAnsi="仿宋" w:eastAsia="仿宋"/>
          <w:bCs/>
          <w:color w:val="000000"/>
          <w:kern w:val="0"/>
          <w:sz w:val="32"/>
          <w:szCs w:val="32"/>
        </w:rPr>
        <w:t>3.</w:t>
      </w:r>
      <w:r>
        <w:rPr>
          <w:rFonts w:ascii="仿宋" w:hAnsi="仿宋" w:eastAsia="仿宋"/>
          <w:bCs/>
          <w:color w:val="000000"/>
          <w:kern w:val="0"/>
          <w:sz w:val="32"/>
          <w:szCs w:val="32"/>
        </w:rPr>
        <w:t>财务工作水平有待提高。</w:t>
      </w:r>
      <w:r>
        <w:rPr>
          <w:rFonts w:hint="eastAsia" w:ascii="仿宋" w:hAnsi="仿宋" w:eastAsia="仿宋"/>
          <w:bCs/>
          <w:color w:val="000000"/>
          <w:kern w:val="0"/>
          <w:sz w:val="32"/>
          <w:szCs w:val="32"/>
        </w:rPr>
        <w:t>执行新的理论会计年度后，财务工作</w:t>
      </w:r>
      <w:r>
        <w:rPr>
          <w:rFonts w:ascii="仿宋" w:hAnsi="仿宋" w:eastAsia="仿宋"/>
          <w:bCs/>
          <w:color w:val="000000"/>
          <w:kern w:val="0"/>
          <w:sz w:val="32"/>
          <w:szCs w:val="32"/>
        </w:rPr>
        <w:t>在精度和深度上欠缺，还需要进一步</w:t>
      </w:r>
      <w:r>
        <w:rPr>
          <w:rFonts w:hint="eastAsia" w:ascii="仿宋" w:hAnsi="仿宋" w:eastAsia="仿宋"/>
          <w:bCs/>
          <w:color w:val="000000"/>
          <w:kern w:val="0"/>
          <w:sz w:val="32"/>
          <w:szCs w:val="32"/>
        </w:rPr>
        <w:t>深入学习</w:t>
      </w:r>
      <w:r>
        <w:rPr>
          <w:rFonts w:ascii="仿宋" w:hAnsi="仿宋" w:eastAsia="仿宋"/>
          <w:bCs/>
          <w:color w:val="000000"/>
          <w:kern w:val="0"/>
          <w:sz w:val="32"/>
          <w:szCs w:val="32"/>
        </w:rPr>
        <w:t>，</w:t>
      </w:r>
      <w:r>
        <w:rPr>
          <w:rFonts w:hint="eastAsia" w:ascii="仿宋" w:hAnsi="仿宋" w:eastAsia="仿宋"/>
          <w:bCs/>
          <w:color w:val="000000"/>
          <w:kern w:val="0"/>
          <w:sz w:val="32"/>
          <w:szCs w:val="32"/>
        </w:rPr>
        <w:t>提高财务工作水平。</w:t>
      </w:r>
    </w:p>
    <w:p>
      <w:pPr>
        <w:spacing w:line="578" w:lineRule="exact"/>
        <w:ind w:firstLine="560" w:firstLineChars="200"/>
        <w:rPr>
          <w:rFonts w:ascii="宋体" w:hAnsi="宋体" w:cs="宋体"/>
          <w:sz w:val="28"/>
          <w:szCs w:val="28"/>
        </w:rPr>
      </w:pPr>
      <w:r>
        <w:rPr>
          <w:rFonts w:hint="eastAsia" w:ascii="宋体" w:hAnsi="宋体" w:cs="宋体"/>
          <w:sz w:val="28"/>
          <w:szCs w:val="28"/>
        </w:rPr>
        <w:t>（三）改进建议</w:t>
      </w:r>
    </w:p>
    <w:p>
      <w:pPr>
        <w:adjustRightInd w:val="0"/>
        <w:snapToGrid w:val="0"/>
        <w:spacing w:line="578" w:lineRule="exact"/>
        <w:ind w:firstLine="480" w:firstLineChars="150"/>
        <w:rPr>
          <w:rFonts w:ascii="仿宋" w:hAnsi="仿宋" w:eastAsia="仿宋"/>
          <w:bCs/>
          <w:color w:val="000000"/>
          <w:kern w:val="0"/>
          <w:sz w:val="32"/>
          <w:szCs w:val="32"/>
        </w:rPr>
      </w:pPr>
      <w:r>
        <w:rPr>
          <w:rFonts w:hint="eastAsia" w:ascii="仿宋" w:hAnsi="仿宋" w:eastAsia="仿宋"/>
          <w:bCs/>
          <w:color w:val="000000"/>
          <w:kern w:val="0"/>
          <w:sz w:val="32"/>
          <w:szCs w:val="32"/>
        </w:rPr>
        <w:t>1、逐步提高部门预算财政资金使用效益，加强绩效评价管理制度和流程的建设，进一步深化、完善绩效管理体系，建立全过程的预算绩效管理机制，促进绩效管理工作向广度和深度延伸。</w:t>
      </w:r>
    </w:p>
    <w:p>
      <w:pPr>
        <w:adjustRightInd w:val="0"/>
        <w:snapToGrid w:val="0"/>
        <w:spacing w:line="578" w:lineRule="exact"/>
        <w:ind w:firstLine="480" w:firstLineChars="150"/>
        <w:rPr>
          <w:rFonts w:ascii="仿宋" w:hAnsi="仿宋" w:eastAsia="仿宋"/>
          <w:bCs/>
          <w:color w:val="000000"/>
          <w:kern w:val="0"/>
          <w:sz w:val="32"/>
          <w:szCs w:val="32"/>
        </w:rPr>
      </w:pPr>
      <w:r>
        <w:rPr>
          <w:rFonts w:hint="eastAsia" w:ascii="仿宋" w:hAnsi="仿宋" w:eastAsia="仿宋"/>
          <w:bCs/>
          <w:color w:val="000000"/>
          <w:kern w:val="0"/>
          <w:sz w:val="32"/>
          <w:szCs w:val="32"/>
        </w:rPr>
        <w:t>2、严格按照批复预算执行，加强预算绩效管理，增强预算约束力，做好预算项目支出绩效目标及各项绩效指标的细化、量化工作,用好用活各类财政资金，提高财政资金的使用效益。</w:t>
      </w:r>
    </w:p>
    <w:p>
      <w:pPr>
        <w:adjustRightInd w:val="0"/>
        <w:snapToGrid w:val="0"/>
        <w:spacing w:line="578" w:lineRule="exact"/>
        <w:ind w:firstLine="5440" w:firstLineChars="1700"/>
        <w:rPr>
          <w:rFonts w:ascii="仿宋" w:hAnsi="仿宋" w:eastAsia="仿宋"/>
          <w:bCs/>
          <w:color w:val="000000"/>
          <w:kern w:val="0"/>
          <w:sz w:val="32"/>
          <w:szCs w:val="32"/>
        </w:rPr>
      </w:pPr>
      <w:r>
        <w:rPr>
          <w:rFonts w:hint="eastAsia" w:ascii="仿宋" w:hAnsi="仿宋" w:eastAsia="仿宋"/>
          <w:bCs/>
          <w:color w:val="000000"/>
          <w:kern w:val="0"/>
          <w:sz w:val="32"/>
          <w:szCs w:val="32"/>
        </w:rPr>
        <w:t>泸县就业服务管理局</w:t>
      </w:r>
    </w:p>
    <w:p>
      <w:pPr>
        <w:adjustRightInd w:val="0"/>
        <w:snapToGrid w:val="0"/>
        <w:spacing w:line="578" w:lineRule="exact"/>
        <w:ind w:firstLine="5600" w:firstLineChars="1750"/>
        <w:rPr>
          <w:rFonts w:ascii="仿宋" w:hAnsi="仿宋" w:eastAsia="仿宋"/>
          <w:bCs/>
          <w:color w:val="000000"/>
          <w:kern w:val="0"/>
          <w:sz w:val="32"/>
          <w:szCs w:val="32"/>
        </w:rPr>
      </w:pPr>
      <w:r>
        <w:rPr>
          <w:rFonts w:hint="eastAsia" w:ascii="仿宋" w:hAnsi="仿宋" w:eastAsia="仿宋"/>
          <w:bCs/>
          <w:color w:val="000000"/>
          <w:kern w:val="0"/>
          <w:sz w:val="32"/>
          <w:szCs w:val="32"/>
        </w:rPr>
        <w:t>2021年4月20日</w:t>
      </w:r>
    </w:p>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7"/>
      </w:rPr>
    </w:pPr>
    <w:r>
      <w:fldChar w:fldCharType="begin"/>
    </w:r>
    <w:r>
      <w:rPr>
        <w:rStyle w:val="7"/>
      </w:rPr>
      <w:instrText xml:space="preserve">PAGE  </w:instrText>
    </w:r>
    <w:r>
      <w:fldChar w:fldCharType="separate"/>
    </w:r>
    <w:r>
      <w:rPr>
        <w:rStyle w:val="7"/>
      </w:rPr>
      <w:t>1</w:t>
    </w:r>
    <w:r>
      <w:fldChar w:fldCharType="end"/>
    </w:r>
  </w:p>
  <w:p>
    <w:pPr>
      <w:pStyle w:val="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7"/>
      </w:rPr>
    </w:pPr>
    <w:r>
      <w:fldChar w:fldCharType="begin"/>
    </w:r>
    <w:r>
      <w:rPr>
        <w:rStyle w:val="7"/>
      </w:rPr>
      <w:instrText xml:space="preserve">PAGE  </w:instrText>
    </w:r>
    <w:r>
      <w:fldChar w:fldCharType="separate"/>
    </w:r>
    <w:r>
      <w:rPr>
        <w:rStyle w:val="7"/>
      </w:rPr>
      <w:t>9</w:t>
    </w:r>
    <w:r>
      <w:fldChar w:fldCharType="end"/>
    </w:r>
  </w:p>
  <w:p>
    <w:pPr>
      <w:pStyle w:val="2"/>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B0D1F"/>
    <w:rsid w:val="00007635"/>
    <w:rsid w:val="00037AE4"/>
    <w:rsid w:val="00042314"/>
    <w:rsid w:val="0009375E"/>
    <w:rsid w:val="000B1DE0"/>
    <w:rsid w:val="000E22A3"/>
    <w:rsid w:val="001045CD"/>
    <w:rsid w:val="00143C38"/>
    <w:rsid w:val="00145732"/>
    <w:rsid w:val="00166FD0"/>
    <w:rsid w:val="001809AF"/>
    <w:rsid w:val="001D5FAA"/>
    <w:rsid w:val="002049CA"/>
    <w:rsid w:val="00210D63"/>
    <w:rsid w:val="00277EA3"/>
    <w:rsid w:val="0028660F"/>
    <w:rsid w:val="00295E32"/>
    <w:rsid w:val="002C1FAD"/>
    <w:rsid w:val="002E48EF"/>
    <w:rsid w:val="00345E1E"/>
    <w:rsid w:val="0035680F"/>
    <w:rsid w:val="00392743"/>
    <w:rsid w:val="003A6ABB"/>
    <w:rsid w:val="003D2F9F"/>
    <w:rsid w:val="003D501D"/>
    <w:rsid w:val="003E7871"/>
    <w:rsid w:val="00425E50"/>
    <w:rsid w:val="00471B41"/>
    <w:rsid w:val="00473F15"/>
    <w:rsid w:val="00486166"/>
    <w:rsid w:val="004C3C8B"/>
    <w:rsid w:val="005254D7"/>
    <w:rsid w:val="005322C0"/>
    <w:rsid w:val="00546D64"/>
    <w:rsid w:val="00551D53"/>
    <w:rsid w:val="005855F7"/>
    <w:rsid w:val="0059664F"/>
    <w:rsid w:val="005A755E"/>
    <w:rsid w:val="005D67A5"/>
    <w:rsid w:val="005E531C"/>
    <w:rsid w:val="005E7D88"/>
    <w:rsid w:val="005F4882"/>
    <w:rsid w:val="005F7BB2"/>
    <w:rsid w:val="00634D60"/>
    <w:rsid w:val="00635166"/>
    <w:rsid w:val="00644EA2"/>
    <w:rsid w:val="006461AA"/>
    <w:rsid w:val="00662782"/>
    <w:rsid w:val="00667D86"/>
    <w:rsid w:val="0067692E"/>
    <w:rsid w:val="006817DF"/>
    <w:rsid w:val="00683B80"/>
    <w:rsid w:val="006C2524"/>
    <w:rsid w:val="00713AD6"/>
    <w:rsid w:val="0073516C"/>
    <w:rsid w:val="00750FAC"/>
    <w:rsid w:val="007524B1"/>
    <w:rsid w:val="00753D20"/>
    <w:rsid w:val="0078236E"/>
    <w:rsid w:val="007D1FF1"/>
    <w:rsid w:val="007E2C57"/>
    <w:rsid w:val="007E77AF"/>
    <w:rsid w:val="00814EEC"/>
    <w:rsid w:val="00825395"/>
    <w:rsid w:val="008379B4"/>
    <w:rsid w:val="00840FE0"/>
    <w:rsid w:val="00845BEB"/>
    <w:rsid w:val="00847745"/>
    <w:rsid w:val="00851A2F"/>
    <w:rsid w:val="00866519"/>
    <w:rsid w:val="0087395B"/>
    <w:rsid w:val="00887E66"/>
    <w:rsid w:val="008B19BA"/>
    <w:rsid w:val="008B2DB5"/>
    <w:rsid w:val="008B6BA0"/>
    <w:rsid w:val="008F6CCB"/>
    <w:rsid w:val="00906DD4"/>
    <w:rsid w:val="00915A07"/>
    <w:rsid w:val="00917EC0"/>
    <w:rsid w:val="00961104"/>
    <w:rsid w:val="00961B9C"/>
    <w:rsid w:val="00977FD7"/>
    <w:rsid w:val="009B19E9"/>
    <w:rsid w:val="009D1B23"/>
    <w:rsid w:val="009D5598"/>
    <w:rsid w:val="009F66DC"/>
    <w:rsid w:val="00A031A9"/>
    <w:rsid w:val="00A138AE"/>
    <w:rsid w:val="00A322C9"/>
    <w:rsid w:val="00A359E6"/>
    <w:rsid w:val="00A36D1F"/>
    <w:rsid w:val="00A442D6"/>
    <w:rsid w:val="00A52CAC"/>
    <w:rsid w:val="00A56A2C"/>
    <w:rsid w:val="00A64B40"/>
    <w:rsid w:val="00A77DB7"/>
    <w:rsid w:val="00A82010"/>
    <w:rsid w:val="00A84A7F"/>
    <w:rsid w:val="00AC6B2A"/>
    <w:rsid w:val="00AD6232"/>
    <w:rsid w:val="00B26606"/>
    <w:rsid w:val="00B374D4"/>
    <w:rsid w:val="00B57AD2"/>
    <w:rsid w:val="00B64451"/>
    <w:rsid w:val="00B905A0"/>
    <w:rsid w:val="00B92834"/>
    <w:rsid w:val="00B93922"/>
    <w:rsid w:val="00BA581A"/>
    <w:rsid w:val="00BB7851"/>
    <w:rsid w:val="00BE3CAD"/>
    <w:rsid w:val="00C22033"/>
    <w:rsid w:val="00C27A00"/>
    <w:rsid w:val="00C55724"/>
    <w:rsid w:val="00C91AA7"/>
    <w:rsid w:val="00CA06A9"/>
    <w:rsid w:val="00CA6F03"/>
    <w:rsid w:val="00CD132D"/>
    <w:rsid w:val="00CF7772"/>
    <w:rsid w:val="00D10109"/>
    <w:rsid w:val="00D35782"/>
    <w:rsid w:val="00D451CB"/>
    <w:rsid w:val="00D51892"/>
    <w:rsid w:val="00D65BF5"/>
    <w:rsid w:val="00D82276"/>
    <w:rsid w:val="00D96D2F"/>
    <w:rsid w:val="00DA6686"/>
    <w:rsid w:val="00DB0D1F"/>
    <w:rsid w:val="00DD089B"/>
    <w:rsid w:val="00DE4D04"/>
    <w:rsid w:val="00EA4188"/>
    <w:rsid w:val="00EF6291"/>
    <w:rsid w:val="00F02AC0"/>
    <w:rsid w:val="00F060E0"/>
    <w:rsid w:val="00F14E1B"/>
    <w:rsid w:val="00F168ED"/>
    <w:rsid w:val="00F238AB"/>
    <w:rsid w:val="00F31752"/>
    <w:rsid w:val="00F44780"/>
    <w:rsid w:val="00F46F96"/>
    <w:rsid w:val="00F67EDC"/>
    <w:rsid w:val="00F912A3"/>
    <w:rsid w:val="00FA1D93"/>
    <w:rsid w:val="00FD1CB0"/>
    <w:rsid w:val="00FF4D28"/>
    <w:rsid w:val="26F730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uiPriority w:val="0"/>
    <w:pPr>
      <w:spacing w:beforeAutospacing="1" w:afterAutospacing="1"/>
      <w:jc w:val="left"/>
    </w:pPr>
    <w:rPr>
      <w:rFonts w:asciiTheme="minorHAnsi" w:hAnsiTheme="minorHAnsi" w:eastAsiaTheme="minorEastAsia"/>
      <w:kern w:val="0"/>
      <w:sz w:val="24"/>
    </w:rPr>
  </w:style>
  <w:style w:type="character" w:styleId="7">
    <w:name w:val="page number"/>
    <w:basedOn w:val="6"/>
    <w:qFormat/>
    <w:uiPriority w:val="0"/>
  </w:style>
  <w:style w:type="character" w:customStyle="1" w:styleId="8">
    <w:name w:val="页眉 Char"/>
    <w:basedOn w:val="6"/>
    <w:link w:val="3"/>
    <w:semiHidden/>
    <w:uiPriority w:val="99"/>
    <w:rPr>
      <w:sz w:val="18"/>
      <w:szCs w:val="18"/>
    </w:rPr>
  </w:style>
  <w:style w:type="character" w:customStyle="1" w:styleId="9">
    <w:name w:val="页脚 Char"/>
    <w:basedOn w:val="6"/>
    <w:link w:val="2"/>
    <w:uiPriority w:val="99"/>
    <w:rPr>
      <w:sz w:val="18"/>
      <w:szCs w:val="18"/>
    </w:rPr>
  </w:style>
  <w:style w:type="paragraph" w:styleId="10">
    <w:name w:val="List Paragraph"/>
    <w:basedOn w:val="1"/>
    <w:unhideWhenUsed/>
    <w:qFormat/>
    <w:uiPriority w:val="99"/>
    <w:pPr>
      <w:ind w:firstLine="420" w:firstLineChars="200"/>
    </w:pPr>
    <w:rPr>
      <w:rFonts w:ascii="Times New Roman" w:hAnsi="Times New Roman" w:eastAsia="仿宋_GB2312"/>
      <w:sz w:val="32"/>
    </w:rPr>
  </w:style>
  <w:style w:type="character" w:customStyle="1" w:styleId="11">
    <w:name w:val="font61"/>
    <w:basedOn w:val="6"/>
    <w:qFormat/>
    <w:uiPriority w:val="0"/>
    <w:rPr>
      <w:rFonts w:hint="eastAsia" w:ascii="宋体" w:hAnsi="宋体" w:eastAsia="宋体" w:cs="宋体"/>
      <w:color w:val="000000"/>
      <w:sz w:val="32"/>
      <w:szCs w:val="3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4DCC117-BF8D-4B64-8E43-EE612F2005A2}">
  <ds:schemaRefs/>
</ds:datastoreItem>
</file>

<file path=docProps/app.xml><?xml version="1.0" encoding="utf-8"?>
<Properties xmlns="http://schemas.openxmlformats.org/officeDocument/2006/extended-properties" xmlns:vt="http://schemas.openxmlformats.org/officeDocument/2006/docPropsVTypes">
  <Template>Normal</Template>
  <Company>www.jujumao.org</Company>
  <Pages>10</Pages>
  <Words>841</Words>
  <Characters>4799</Characters>
  <Lines>39</Lines>
  <Paragraphs>11</Paragraphs>
  <TotalTime>371</TotalTime>
  <ScaleCrop>false</ScaleCrop>
  <LinksUpToDate>false</LinksUpToDate>
  <CharactersWithSpaces>5629</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2021-04-14T06:49:00Z</dcterms:created>
  <dc:creator>jujumao</dc:creator>
  <cp:lastModifiedBy>芋头si。</cp:lastModifiedBy>
  <cp:lastPrinted>2021-05-06T02:30:00Z</cp:lastPrinted>
  <dcterms:modified xsi:type="dcterms:W3CDTF">2021-05-24T03:15:54Z</dcterms:modified>
  <cp:revision>110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F7B205034BCF45E2B80DE66E09CAFF56</vt:lpwstr>
  </property>
</Properties>
</file>